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0C4CA" w14:textId="60CB8418" w:rsidR="008144C2" w:rsidRDefault="002665E5" w:rsidP="00A34FD4">
      <w:pPr>
        <w:jc w:val="center"/>
        <w:rPr>
          <w:b/>
        </w:rPr>
      </w:pPr>
      <w:r w:rsidRPr="003B7206">
        <w:rPr>
          <w:b/>
        </w:rPr>
        <w:t xml:space="preserve">Titre : </w:t>
      </w:r>
      <w:r w:rsidR="00A772D8" w:rsidRPr="003B7206">
        <w:rPr>
          <w:b/>
        </w:rPr>
        <w:t xml:space="preserve">Les habitats </w:t>
      </w:r>
      <w:r w:rsidR="0020038E">
        <w:rPr>
          <w:b/>
        </w:rPr>
        <w:t>à visée inclusive</w:t>
      </w:r>
      <w:r w:rsidR="00A772D8" w:rsidRPr="003B7206">
        <w:rPr>
          <w:b/>
        </w:rPr>
        <w:t xml:space="preserve"> pour personnes âgées et personnes en situation de handicap</w:t>
      </w:r>
      <w:r w:rsidR="00E70463">
        <w:rPr>
          <w:b/>
        </w:rPr>
        <w:t xml:space="preserve"> : </w:t>
      </w:r>
      <w:r w:rsidR="0020038E">
        <w:rPr>
          <w:b/>
        </w:rPr>
        <w:t>entre logique de libre choix et contraintes institutionnelles</w:t>
      </w:r>
    </w:p>
    <w:p w14:paraId="4B0DECDE" w14:textId="7044D683" w:rsidR="00AF3057" w:rsidRDefault="00AF3057" w:rsidP="00A34FD4">
      <w:pPr>
        <w:jc w:val="center"/>
        <w:rPr>
          <w:b/>
        </w:rPr>
      </w:pPr>
    </w:p>
    <w:p w14:paraId="1BE665F0" w14:textId="751A789B" w:rsidR="00AF3057" w:rsidRDefault="00AF3057" w:rsidP="00AF3057">
      <w:pPr>
        <w:rPr>
          <w:b/>
        </w:rPr>
      </w:pPr>
      <w:r>
        <w:rPr>
          <w:b/>
        </w:rPr>
        <w:t>Noémie Rapegno, EHESP, Arènes</w:t>
      </w:r>
    </w:p>
    <w:p w14:paraId="1391C6D3" w14:textId="61F498B5" w:rsidR="00AF3057" w:rsidRPr="003B7206" w:rsidRDefault="00AF3057" w:rsidP="00AF3057">
      <w:pPr>
        <w:rPr>
          <w:b/>
        </w:rPr>
      </w:pPr>
      <w:r>
        <w:rPr>
          <w:b/>
        </w:rPr>
        <w:t>Cécile Rosenfelder, EHESP-Arènes</w:t>
      </w:r>
    </w:p>
    <w:p w14:paraId="594A2AAF" w14:textId="77777777" w:rsidR="00A34FD4" w:rsidRDefault="00A34FD4" w:rsidP="00A34FD4">
      <w:pPr>
        <w:jc w:val="center"/>
      </w:pPr>
    </w:p>
    <w:p w14:paraId="16F0AAA3" w14:textId="02F573B1" w:rsidR="00953086" w:rsidRDefault="004B00DB" w:rsidP="00926E81">
      <w:pPr>
        <w:pStyle w:val="Sansinterligne"/>
      </w:pPr>
      <w:r w:rsidRPr="006351B4">
        <w:rPr>
          <w:szCs w:val="22"/>
        </w:rPr>
        <w:t xml:space="preserve">Dans un contexte où </w:t>
      </w:r>
      <w:r w:rsidR="00D84EE2">
        <w:rPr>
          <w:szCs w:val="22"/>
        </w:rPr>
        <w:t>la transformation de l’offre médico-sociale</w:t>
      </w:r>
      <w:r w:rsidRPr="006351B4">
        <w:rPr>
          <w:szCs w:val="22"/>
        </w:rPr>
        <w:t xml:space="preserve"> est devenu</w:t>
      </w:r>
      <w:r>
        <w:rPr>
          <w:szCs w:val="22"/>
        </w:rPr>
        <w:t xml:space="preserve">e un enjeu politique majeur, </w:t>
      </w:r>
      <w:r w:rsidR="00615256">
        <w:rPr>
          <w:szCs w:val="22"/>
        </w:rPr>
        <w:t>l</w:t>
      </w:r>
      <w:r>
        <w:rPr>
          <w:szCs w:val="22"/>
        </w:rPr>
        <w:t>es habitats</w:t>
      </w:r>
      <w:r w:rsidR="00696C29">
        <w:rPr>
          <w:szCs w:val="22"/>
        </w:rPr>
        <w:t xml:space="preserve"> à visée inclusive</w:t>
      </w:r>
      <w:r>
        <w:rPr>
          <w:szCs w:val="22"/>
        </w:rPr>
        <w:t xml:space="preserve"> pour personnes âgées et personnes en situation de handicap tendent aujourd’hui à se multiplier</w:t>
      </w:r>
      <w:r w:rsidR="00AF3057">
        <w:rPr>
          <w:szCs w:val="22"/>
        </w:rPr>
        <w:t xml:space="preserve"> </w:t>
      </w:r>
      <w:r w:rsidR="00AF3057" w:rsidRPr="00AF3057">
        <w:rPr>
          <w:rFonts w:cs="Times New Roman"/>
        </w:rPr>
        <w:t>(Bertillot et Rapegno 2019)</w:t>
      </w:r>
      <w:r w:rsidR="0020038E">
        <w:rPr>
          <w:rFonts w:cs="Times New Roman"/>
        </w:rPr>
        <w:t>.</w:t>
      </w:r>
      <w:r w:rsidR="0020038E" w:rsidRPr="0020038E">
        <w:rPr>
          <w:szCs w:val="22"/>
        </w:rPr>
        <w:t xml:space="preserve"> </w:t>
      </w:r>
      <w:r w:rsidR="00953086">
        <w:rPr>
          <w:szCs w:val="22"/>
        </w:rPr>
        <w:t>C</w:t>
      </w:r>
      <w:r w:rsidR="0020038E">
        <w:rPr>
          <w:szCs w:val="22"/>
        </w:rPr>
        <w:t xml:space="preserve">onçues </w:t>
      </w:r>
      <w:r w:rsidR="00953086">
        <w:rPr>
          <w:szCs w:val="22"/>
        </w:rPr>
        <w:t xml:space="preserve">explicitement </w:t>
      </w:r>
      <w:r w:rsidR="0020038E">
        <w:rPr>
          <w:szCs w:val="22"/>
        </w:rPr>
        <w:t xml:space="preserve">contre le « spectre de l’institution totale » </w:t>
      </w:r>
      <w:r w:rsidR="0020038E">
        <w:rPr>
          <w:noProof/>
          <w:szCs w:val="22"/>
        </w:rPr>
        <w:t>(Loffeier 2015)</w:t>
      </w:r>
      <w:r w:rsidR="00953086">
        <w:rPr>
          <w:szCs w:val="22"/>
        </w:rPr>
        <w:t xml:space="preserve">, ces </w:t>
      </w:r>
      <w:r w:rsidR="00696C29">
        <w:rPr>
          <w:szCs w:val="22"/>
        </w:rPr>
        <w:t>initiatives</w:t>
      </w:r>
      <w:r w:rsidR="0020038E">
        <w:rPr>
          <w:szCs w:val="22"/>
        </w:rPr>
        <w:t xml:space="preserve"> répondent à une logique de </w:t>
      </w:r>
      <w:r w:rsidR="0020038E">
        <w:t xml:space="preserve">« conciliation des contraires » </w:t>
      </w:r>
      <w:r w:rsidR="0020038E">
        <w:rPr>
          <w:noProof/>
        </w:rPr>
        <w:t>(Labit et Chaland 2010)</w:t>
      </w:r>
      <w:r w:rsidR="0020038E">
        <w:t xml:space="preserve"> en articulant « logique de protection et logique d’autonomisation ».</w:t>
      </w:r>
      <w:r w:rsidR="009970FC" w:rsidRPr="009970FC">
        <w:t xml:space="preserve"> </w:t>
      </w:r>
      <w:r w:rsidR="009970FC">
        <w:t xml:space="preserve">En cela, </w:t>
      </w:r>
      <w:r w:rsidR="00696C29">
        <w:t>elles</w:t>
      </w:r>
      <w:r w:rsidR="009970FC">
        <w:t xml:space="preserve"> poursuivent deux objectifs qui entrent a priori en tension. </w:t>
      </w:r>
      <w:r w:rsidR="009970FC">
        <w:rPr>
          <w:szCs w:val="22"/>
        </w:rPr>
        <w:t xml:space="preserve">D’une part, </w:t>
      </w:r>
      <w:r w:rsidR="009970FC">
        <w:t xml:space="preserve">il s’agit de préserver la possibilité d’habiter chez soi </w:t>
      </w:r>
      <w:r w:rsidR="009970FC" w:rsidRPr="002D2D2D">
        <w:rPr>
          <w:noProof/>
          <w:szCs w:val="22"/>
        </w:rPr>
        <w:t>(Serfaty-Garzon 2003; Vassart 2006)</w:t>
      </w:r>
      <w:r w:rsidR="009970FC" w:rsidRPr="002D2D2D">
        <w:rPr>
          <w:szCs w:val="22"/>
        </w:rPr>
        <w:t xml:space="preserve"> </w:t>
      </w:r>
      <w:r w:rsidR="009970FC">
        <w:t xml:space="preserve">et de favoriser </w:t>
      </w:r>
      <w:r w:rsidR="009970FC">
        <w:t xml:space="preserve">le libre choix, </w:t>
      </w:r>
      <w:r w:rsidR="009970FC">
        <w:t>l’autonomie</w:t>
      </w:r>
      <w:r w:rsidR="009970FC">
        <w:t xml:space="preserve"> et</w:t>
      </w:r>
      <w:r w:rsidR="009970FC">
        <w:t xml:space="preserve"> la participation. </w:t>
      </w:r>
      <w:r w:rsidR="009970FC">
        <w:rPr>
          <w:szCs w:val="22"/>
        </w:rPr>
        <w:t xml:space="preserve">D’autre part, il s’agit </w:t>
      </w:r>
      <w:r w:rsidR="009970FC" w:rsidRPr="00A027B9">
        <w:rPr>
          <w:szCs w:val="22"/>
        </w:rPr>
        <w:t xml:space="preserve">de répondre à un souci de protection, </w:t>
      </w:r>
      <w:r w:rsidR="009970FC">
        <w:rPr>
          <w:szCs w:val="22"/>
        </w:rPr>
        <w:t>en créant</w:t>
      </w:r>
      <w:r w:rsidR="009970FC">
        <w:t xml:space="preserve"> un cadre de vie sécurisant tout en limitant l’exercice de la contrainte</w:t>
      </w:r>
      <w:r w:rsidR="009970FC">
        <w:rPr>
          <w:szCs w:val="22"/>
        </w:rPr>
        <w:t>.</w:t>
      </w:r>
    </w:p>
    <w:p w14:paraId="7271F5C8" w14:textId="313954B1" w:rsidR="00A9749A" w:rsidRDefault="00A9749A" w:rsidP="00926E81">
      <w:pPr>
        <w:pStyle w:val="Sansinterligne"/>
        <w:rPr>
          <w:szCs w:val="22"/>
        </w:rPr>
      </w:pPr>
    </w:p>
    <w:p w14:paraId="6D7EF135" w14:textId="326D5D17" w:rsidR="007C0B95" w:rsidRDefault="002F4E48" w:rsidP="005E3BE9">
      <w:pPr>
        <w:pStyle w:val="Sansinterligne"/>
        <w:rPr>
          <w:szCs w:val="22"/>
        </w:rPr>
      </w:pPr>
      <w:r>
        <w:rPr>
          <w:szCs w:val="22"/>
        </w:rPr>
        <w:t xml:space="preserve">Dans cette communication, nous souhaitons </w:t>
      </w:r>
      <w:r w:rsidR="00B869C7">
        <w:rPr>
          <w:szCs w:val="22"/>
        </w:rPr>
        <w:t xml:space="preserve">interroger la mise en œuvre du </w:t>
      </w:r>
      <w:r w:rsidR="00D352CA">
        <w:rPr>
          <w:szCs w:val="22"/>
        </w:rPr>
        <w:t>« </w:t>
      </w:r>
      <w:r w:rsidR="00B869C7">
        <w:rPr>
          <w:szCs w:val="22"/>
        </w:rPr>
        <w:t xml:space="preserve">libre choix » dans ces </w:t>
      </w:r>
      <w:r w:rsidR="009970FC">
        <w:rPr>
          <w:szCs w:val="22"/>
        </w:rPr>
        <w:t>habitats à visée inclusive</w:t>
      </w:r>
      <w:r w:rsidR="00B869C7">
        <w:rPr>
          <w:szCs w:val="22"/>
        </w:rPr>
        <w:t xml:space="preserve">. </w:t>
      </w:r>
      <w:r w:rsidR="000F05FB">
        <w:rPr>
          <w:szCs w:val="22"/>
        </w:rPr>
        <w:t>Comment l</w:t>
      </w:r>
      <w:r>
        <w:rPr>
          <w:szCs w:val="22"/>
        </w:rPr>
        <w:t xml:space="preserve">es principes d’autonomie, de libre choix et de participation sont-ils mis en pratique par les professionnels et </w:t>
      </w:r>
      <w:r w:rsidR="0007365C">
        <w:rPr>
          <w:szCs w:val="22"/>
        </w:rPr>
        <w:t>locataires</w:t>
      </w:r>
      <w:r w:rsidR="00506D16">
        <w:rPr>
          <w:szCs w:val="22"/>
        </w:rPr>
        <w:t> ?</w:t>
      </w:r>
      <w:r w:rsidR="00980FD2">
        <w:rPr>
          <w:szCs w:val="22"/>
        </w:rPr>
        <w:t xml:space="preserve"> </w:t>
      </w:r>
    </w:p>
    <w:p w14:paraId="08AB9335" w14:textId="77777777" w:rsidR="007C0B95" w:rsidRDefault="007C0B95" w:rsidP="005E3BE9">
      <w:pPr>
        <w:pStyle w:val="Sansinterligne"/>
        <w:rPr>
          <w:szCs w:val="22"/>
        </w:rPr>
      </w:pPr>
    </w:p>
    <w:p w14:paraId="14B641EB" w14:textId="4DC8C5BF" w:rsidR="007C0B95" w:rsidRDefault="007C0B95" w:rsidP="00BD6B08">
      <w:pPr>
        <w:pStyle w:val="Sansinterligne"/>
        <w:rPr>
          <w:szCs w:val="22"/>
        </w:rPr>
      </w:pPr>
      <w:r>
        <w:rPr>
          <w:szCs w:val="22"/>
        </w:rPr>
        <w:t>Cette communication se base sur une enquête</w:t>
      </w:r>
      <w:r w:rsidR="00D77C7D">
        <w:rPr>
          <w:szCs w:val="22"/>
        </w:rPr>
        <w:t xml:space="preserve"> de terrain</w:t>
      </w:r>
      <w:r>
        <w:rPr>
          <w:szCs w:val="22"/>
        </w:rPr>
        <w:t xml:space="preserve"> </w:t>
      </w:r>
      <w:r w:rsidR="00D77C7D">
        <w:rPr>
          <w:szCs w:val="22"/>
        </w:rPr>
        <w:t xml:space="preserve">réalisée dans </w:t>
      </w:r>
      <w:r w:rsidR="00E05635" w:rsidRPr="00E70463">
        <w:rPr>
          <w:szCs w:val="22"/>
        </w:rPr>
        <w:t>quatre habitats</w:t>
      </w:r>
      <w:r w:rsidR="009970FC">
        <w:rPr>
          <w:szCs w:val="22"/>
        </w:rPr>
        <w:t xml:space="preserve"> à visée alternative s’adressant à des personnes ayant besoin d’aide au quotidien et fonctionnant en routine</w:t>
      </w:r>
      <w:r>
        <w:rPr>
          <w:szCs w:val="22"/>
        </w:rPr>
        <w:t xml:space="preserve"> - deux pour personnes âgées e</w:t>
      </w:r>
      <w:r w:rsidR="009970FC">
        <w:rPr>
          <w:szCs w:val="22"/>
        </w:rPr>
        <w:t>t deux pour adultes handicapés</w:t>
      </w:r>
      <w:r w:rsidR="00CF373D">
        <w:rPr>
          <w:szCs w:val="22"/>
        </w:rPr>
        <w:t>. Entre 2019 et 2021, n</w:t>
      </w:r>
      <w:r w:rsidR="009970FC">
        <w:rPr>
          <w:szCs w:val="22"/>
        </w:rPr>
        <w:t xml:space="preserve">ous y avons mené des </w:t>
      </w:r>
      <w:r w:rsidR="009970FC">
        <w:rPr>
          <w:szCs w:val="22"/>
        </w:rPr>
        <w:t xml:space="preserve">entretiens auprès des locataires, de leur famille et des professionnels et </w:t>
      </w:r>
      <w:r w:rsidR="00CF373D">
        <w:rPr>
          <w:szCs w:val="22"/>
        </w:rPr>
        <w:t>avons réalisé des observation</w:t>
      </w:r>
      <w:r w:rsidR="00D352CA">
        <w:rPr>
          <w:szCs w:val="22"/>
        </w:rPr>
        <w:t>s</w:t>
      </w:r>
      <w:r w:rsidR="00CF373D">
        <w:rPr>
          <w:szCs w:val="22"/>
        </w:rPr>
        <w:t xml:space="preserve"> du quotidien.</w:t>
      </w:r>
    </w:p>
    <w:p w14:paraId="5EA9CC73" w14:textId="7331E322" w:rsidR="007160A4" w:rsidRDefault="007160A4" w:rsidP="00BD6B08">
      <w:pPr>
        <w:pStyle w:val="Sansinterligne"/>
        <w:rPr>
          <w:szCs w:val="22"/>
        </w:rPr>
      </w:pPr>
    </w:p>
    <w:p w14:paraId="4584516A" w14:textId="71FA8280" w:rsidR="007755B4" w:rsidRDefault="007160A4" w:rsidP="00BD6B08">
      <w:pPr>
        <w:pStyle w:val="Sansinterligne"/>
        <w:rPr>
          <w:szCs w:val="22"/>
        </w:rPr>
      </w:pPr>
      <w:r>
        <w:rPr>
          <w:szCs w:val="22"/>
        </w:rPr>
        <w:t xml:space="preserve">Dans cette communication, nous </w:t>
      </w:r>
      <w:r w:rsidR="00D352CA">
        <w:rPr>
          <w:szCs w:val="22"/>
        </w:rPr>
        <w:t>analyserons les trajectoires d’entrée dans ces habitats</w:t>
      </w:r>
      <w:r w:rsidR="00980FD2" w:rsidRPr="00980FD2">
        <w:t xml:space="preserve"> </w:t>
      </w:r>
      <w:r w:rsidR="00980FD2">
        <w:rPr>
          <w:szCs w:val="22"/>
        </w:rPr>
        <w:t>s’inscrivant</w:t>
      </w:r>
      <w:r w:rsidR="00980FD2" w:rsidRPr="00980FD2">
        <w:rPr>
          <w:szCs w:val="22"/>
        </w:rPr>
        <w:t xml:space="preserve"> da</w:t>
      </w:r>
      <w:r w:rsidR="00980FD2">
        <w:rPr>
          <w:szCs w:val="22"/>
        </w:rPr>
        <w:t>ns une logique de droit commun. Celles-ci</w:t>
      </w:r>
      <w:r w:rsidR="00D352CA">
        <w:rPr>
          <w:szCs w:val="22"/>
        </w:rPr>
        <w:t xml:space="preserve"> </w:t>
      </w:r>
      <w:r w:rsidR="002665E5" w:rsidRPr="00E70463">
        <w:rPr>
          <w:szCs w:val="22"/>
        </w:rPr>
        <w:t xml:space="preserve">relèvent </w:t>
      </w:r>
      <w:r w:rsidR="00B56772" w:rsidRPr="00E70463">
        <w:rPr>
          <w:szCs w:val="22"/>
        </w:rPr>
        <w:t xml:space="preserve">souvent </w:t>
      </w:r>
      <w:r w:rsidR="002665E5" w:rsidRPr="00E70463">
        <w:rPr>
          <w:szCs w:val="22"/>
        </w:rPr>
        <w:t>d’un</w:t>
      </w:r>
      <w:r w:rsidR="00B56772" w:rsidRPr="00E70463">
        <w:rPr>
          <w:szCs w:val="22"/>
        </w:rPr>
        <w:t xml:space="preserve"> </w:t>
      </w:r>
      <w:r w:rsidR="00B750DD" w:rsidRPr="00E70463">
        <w:rPr>
          <w:szCs w:val="22"/>
        </w:rPr>
        <w:t xml:space="preserve">« choix sous contrainte » proche par certains aspects des logiques d’entrée en établissement </w:t>
      </w:r>
      <w:r w:rsidR="00B750DD" w:rsidRPr="00E70463">
        <w:rPr>
          <w:rFonts w:cs="Times New Roman"/>
        </w:rPr>
        <w:t>(Rapegno et Ravaud 2017)</w:t>
      </w:r>
      <w:r w:rsidR="005E0B61">
        <w:rPr>
          <w:szCs w:val="22"/>
        </w:rPr>
        <w:t>.</w:t>
      </w:r>
      <w:r w:rsidR="00B750DD" w:rsidRPr="00E70463">
        <w:rPr>
          <w:szCs w:val="22"/>
        </w:rPr>
        <w:t xml:space="preserve"> Deuxièmement, </w:t>
      </w:r>
      <w:r w:rsidR="001D2BFE">
        <w:rPr>
          <w:szCs w:val="22"/>
        </w:rPr>
        <w:t xml:space="preserve">nous montrerons que des </w:t>
      </w:r>
      <w:r w:rsidR="00B750DD" w:rsidRPr="00E70463">
        <w:rPr>
          <w:szCs w:val="22"/>
        </w:rPr>
        <w:t xml:space="preserve">contraintes fortes demeurent, </w:t>
      </w:r>
      <w:r w:rsidR="00AF01A6" w:rsidRPr="00E70463">
        <w:rPr>
          <w:szCs w:val="22"/>
        </w:rPr>
        <w:t>notamment</w:t>
      </w:r>
      <w:r w:rsidR="00B750DD" w:rsidRPr="00E70463">
        <w:rPr>
          <w:szCs w:val="22"/>
        </w:rPr>
        <w:t xml:space="preserve"> dans le rythme du quotidien (heures de repas, de lever ou de coucher) souvent dicté par l’organisation du travail des professionnels</w:t>
      </w:r>
      <w:r>
        <w:rPr>
          <w:szCs w:val="22"/>
        </w:rPr>
        <w:t>, ce qui rend parfois difficile la maîtrise de son temps et de son espace.</w:t>
      </w:r>
      <w:r w:rsidR="00AF01A6" w:rsidRPr="00E70463">
        <w:rPr>
          <w:szCs w:val="22"/>
        </w:rPr>
        <w:t xml:space="preserve"> Ces caractéristiques questionnent la possibilité pour les locataires d’habiter</w:t>
      </w:r>
      <w:r w:rsidR="00081E5F">
        <w:rPr>
          <w:szCs w:val="22"/>
        </w:rPr>
        <w:t xml:space="preserve"> </w:t>
      </w:r>
      <w:r w:rsidR="00AF01A6" w:rsidRPr="00E70463">
        <w:rPr>
          <w:szCs w:val="22"/>
        </w:rPr>
        <w:t>de s’approprier</w:t>
      </w:r>
      <w:r w:rsidR="004D1E64">
        <w:rPr>
          <w:szCs w:val="22"/>
        </w:rPr>
        <w:t xml:space="preserve"> ces lieux</w:t>
      </w:r>
      <w:r w:rsidR="00AF01A6" w:rsidRPr="00E70463">
        <w:rPr>
          <w:szCs w:val="22"/>
        </w:rPr>
        <w:t xml:space="preserve"> </w:t>
      </w:r>
      <w:r w:rsidR="00081E5F">
        <w:rPr>
          <w:szCs w:val="22"/>
        </w:rPr>
        <w:t>et</w:t>
      </w:r>
      <w:r w:rsidR="00AF01A6" w:rsidRPr="00E70463">
        <w:rPr>
          <w:szCs w:val="22"/>
        </w:rPr>
        <w:t xml:space="preserve"> d’en faire un « chez soi ».</w:t>
      </w:r>
    </w:p>
    <w:p w14:paraId="6BD1C1EE" w14:textId="77777777" w:rsidR="007755B4" w:rsidRDefault="007755B4" w:rsidP="00BD6B08">
      <w:pPr>
        <w:pStyle w:val="Sansinterligne"/>
        <w:rPr>
          <w:szCs w:val="22"/>
        </w:rPr>
      </w:pPr>
    </w:p>
    <w:p w14:paraId="403F5EC5" w14:textId="77777777" w:rsidR="00CC3686" w:rsidRDefault="003B7206" w:rsidP="00CC3686">
      <w:pPr>
        <w:pStyle w:val="Bibliographie"/>
        <w:rPr>
          <w:szCs w:val="22"/>
        </w:rPr>
      </w:pPr>
      <w:r>
        <w:rPr>
          <w:szCs w:val="22"/>
        </w:rPr>
        <w:t xml:space="preserve">Bibliographie : </w:t>
      </w:r>
    </w:p>
    <w:p w14:paraId="185431D0" w14:textId="6FBF024B" w:rsidR="00AF3057" w:rsidRPr="00AF3057" w:rsidRDefault="00AF3057" w:rsidP="00AF3057">
      <w:pPr>
        <w:pStyle w:val="Bibliographie"/>
        <w:rPr>
          <w:rFonts w:cs="Times New Roman"/>
        </w:rPr>
      </w:pPr>
      <w:r w:rsidRPr="00AF3057">
        <w:rPr>
          <w:rFonts w:cs="Times New Roman"/>
          <w:smallCaps/>
        </w:rPr>
        <w:t>Bertillot</w:t>
      </w:r>
      <w:r w:rsidRPr="00AF3057">
        <w:rPr>
          <w:rFonts w:cs="Times New Roman"/>
        </w:rPr>
        <w:t xml:space="preserve"> Hugo et </w:t>
      </w:r>
      <w:r w:rsidRPr="00AF3057">
        <w:rPr>
          <w:rFonts w:cs="Times New Roman"/>
          <w:smallCaps/>
        </w:rPr>
        <w:t>Rapegno</w:t>
      </w:r>
      <w:r w:rsidRPr="00AF3057">
        <w:rPr>
          <w:rFonts w:cs="Times New Roman"/>
        </w:rPr>
        <w:t xml:space="preserve"> Noémie, 2019, « L’habitat inclusif pour personnes âgées ou handicapées comme problème public », </w:t>
      </w:r>
      <w:r>
        <w:rPr>
          <w:rFonts w:cs="Times New Roman"/>
          <w:i/>
          <w:iCs/>
        </w:rPr>
        <w:t>Gérontologie et société</w:t>
      </w:r>
      <w:r w:rsidRPr="00AF3057">
        <w:rPr>
          <w:rFonts w:cs="Times New Roman"/>
        </w:rPr>
        <w:t>, 10 juillet 2019, 41 / n° 159, n</w:t>
      </w:r>
      <w:r w:rsidRPr="00AF3057">
        <w:rPr>
          <w:rFonts w:cs="Times New Roman"/>
          <w:vertAlign w:val="superscript"/>
        </w:rPr>
        <w:t>o</w:t>
      </w:r>
      <w:r w:rsidRPr="00AF3057">
        <w:rPr>
          <w:rFonts w:cs="Times New Roman"/>
        </w:rPr>
        <w:t> 2, p. 117‑132.</w:t>
      </w:r>
    </w:p>
    <w:p w14:paraId="3887BDC0" w14:textId="77777777" w:rsidR="00B750DD" w:rsidRPr="00B750DD" w:rsidRDefault="00B750DD" w:rsidP="00B750DD">
      <w:pPr>
        <w:pStyle w:val="Bibliographie"/>
        <w:rPr>
          <w:rFonts w:cs="Times New Roman"/>
        </w:rPr>
      </w:pPr>
      <w:r w:rsidRPr="00B750DD">
        <w:rPr>
          <w:rFonts w:cs="Times New Roman"/>
          <w:smallCaps/>
        </w:rPr>
        <w:t>Labit</w:t>
      </w:r>
      <w:r w:rsidRPr="00B750DD">
        <w:rPr>
          <w:rFonts w:cs="Times New Roman"/>
        </w:rPr>
        <w:t xml:space="preserve"> Anne et </w:t>
      </w:r>
      <w:r w:rsidRPr="00B750DD">
        <w:rPr>
          <w:rFonts w:cs="Times New Roman"/>
          <w:smallCaps/>
        </w:rPr>
        <w:t>Chaland</w:t>
      </w:r>
      <w:r w:rsidRPr="00B750DD">
        <w:rPr>
          <w:rFonts w:cs="Times New Roman"/>
        </w:rPr>
        <w:t xml:space="preserve"> Karine, 2010, « L’habitat groupé autogéré en France et en Allemagne », </w:t>
      </w:r>
      <w:r w:rsidRPr="00B750DD">
        <w:rPr>
          <w:rFonts w:cs="Times New Roman"/>
          <w:i/>
          <w:iCs/>
        </w:rPr>
        <w:t>Espace populations sociétés</w:t>
      </w:r>
      <w:r w:rsidRPr="00B750DD">
        <w:rPr>
          <w:rFonts w:cs="Times New Roman"/>
        </w:rPr>
        <w:t>, 2010, n</w:t>
      </w:r>
      <w:r w:rsidRPr="00B750DD">
        <w:rPr>
          <w:rFonts w:cs="Times New Roman"/>
          <w:vertAlign w:val="superscript"/>
        </w:rPr>
        <w:t>o</w:t>
      </w:r>
      <w:r w:rsidRPr="00B750DD">
        <w:rPr>
          <w:rFonts w:cs="Times New Roman"/>
        </w:rPr>
        <w:t> 2010/1, p. 131‑142.</w:t>
      </w:r>
    </w:p>
    <w:p w14:paraId="441DCD56" w14:textId="77777777" w:rsidR="00B750DD" w:rsidRPr="00B750DD" w:rsidRDefault="00B750DD" w:rsidP="00B750DD">
      <w:pPr>
        <w:pStyle w:val="Bibliographie"/>
        <w:rPr>
          <w:rFonts w:cs="Times New Roman"/>
        </w:rPr>
      </w:pPr>
      <w:r w:rsidRPr="00B750DD">
        <w:rPr>
          <w:rFonts w:cs="Times New Roman"/>
          <w:smallCaps/>
        </w:rPr>
        <w:t>Loffeier</w:t>
      </w:r>
      <w:r w:rsidRPr="00B750DD">
        <w:rPr>
          <w:rFonts w:cs="Times New Roman"/>
        </w:rPr>
        <w:t xml:space="preserve"> Iris, 2015, </w:t>
      </w:r>
      <w:r w:rsidRPr="00B750DD">
        <w:rPr>
          <w:rFonts w:cs="Times New Roman"/>
          <w:i/>
          <w:iCs/>
        </w:rPr>
        <w:t>Panser des jambes de bois ?: la vieillesse, catégorie d’existence et de travail en maison de retraite</w:t>
      </w:r>
      <w:r w:rsidRPr="00B750DD">
        <w:rPr>
          <w:rFonts w:cs="Times New Roman"/>
        </w:rPr>
        <w:t>, Paris, Presses universitaires de France.</w:t>
      </w:r>
    </w:p>
    <w:p w14:paraId="465B3748" w14:textId="77777777" w:rsidR="00B750DD" w:rsidRPr="00B750DD" w:rsidRDefault="00B750DD" w:rsidP="00B750DD">
      <w:pPr>
        <w:pStyle w:val="Bibliographie"/>
        <w:rPr>
          <w:rFonts w:cs="Times New Roman"/>
        </w:rPr>
      </w:pPr>
      <w:r w:rsidRPr="00B750DD">
        <w:rPr>
          <w:rFonts w:cs="Times New Roman"/>
          <w:smallCaps/>
        </w:rPr>
        <w:t>Rapegno</w:t>
      </w:r>
      <w:r w:rsidRPr="00B750DD">
        <w:rPr>
          <w:rFonts w:cs="Times New Roman"/>
        </w:rPr>
        <w:t xml:space="preserve"> Noémie et </w:t>
      </w:r>
      <w:r w:rsidRPr="00B750DD">
        <w:rPr>
          <w:rFonts w:cs="Times New Roman"/>
          <w:smallCaps/>
        </w:rPr>
        <w:t>Ravaud</w:t>
      </w:r>
      <w:r w:rsidRPr="00B750DD">
        <w:rPr>
          <w:rFonts w:cs="Times New Roman"/>
        </w:rPr>
        <w:t xml:space="preserve"> Jean-François, 2017, « Vivre dans un établissement médico-social d’hébergement pour adultes handicapés en France : quels choix résidentiels ? Le point de vue des usagers », </w:t>
      </w:r>
      <w:r w:rsidRPr="00B750DD">
        <w:rPr>
          <w:rFonts w:cs="Times New Roman"/>
          <w:i/>
          <w:iCs/>
        </w:rPr>
        <w:t>Annales de geographie</w:t>
      </w:r>
      <w:r w:rsidRPr="00B750DD">
        <w:rPr>
          <w:rFonts w:cs="Times New Roman"/>
        </w:rPr>
        <w:t>, 2017, N° 718, n</w:t>
      </w:r>
      <w:r w:rsidRPr="00B750DD">
        <w:rPr>
          <w:rFonts w:cs="Times New Roman"/>
          <w:vertAlign w:val="superscript"/>
        </w:rPr>
        <w:t>o</w:t>
      </w:r>
      <w:r w:rsidRPr="00B750DD">
        <w:rPr>
          <w:rFonts w:cs="Times New Roman"/>
        </w:rPr>
        <w:t> 6, p. 728‑753.</w:t>
      </w:r>
    </w:p>
    <w:p w14:paraId="3464933C" w14:textId="77777777" w:rsidR="00B750DD" w:rsidRPr="00B750DD" w:rsidRDefault="00B750DD" w:rsidP="00B750DD">
      <w:pPr>
        <w:pStyle w:val="Bibliographie"/>
        <w:rPr>
          <w:rFonts w:cs="Times New Roman"/>
        </w:rPr>
      </w:pPr>
      <w:r w:rsidRPr="00B750DD">
        <w:rPr>
          <w:rFonts w:cs="Times New Roman"/>
          <w:smallCaps/>
        </w:rPr>
        <w:t>Serfaty-Garzon</w:t>
      </w:r>
      <w:r w:rsidRPr="00B750DD">
        <w:rPr>
          <w:rFonts w:cs="Times New Roman"/>
        </w:rPr>
        <w:t xml:space="preserve"> Perla, 2003, </w:t>
      </w:r>
      <w:r w:rsidRPr="00B750DD">
        <w:rPr>
          <w:rFonts w:cs="Times New Roman"/>
          <w:i/>
          <w:iCs/>
        </w:rPr>
        <w:t>Chez soi : Les territoires de l’intimité</w:t>
      </w:r>
      <w:r w:rsidRPr="00B750DD">
        <w:rPr>
          <w:rFonts w:cs="Times New Roman"/>
        </w:rPr>
        <w:t>, Paris, Armand Colin.</w:t>
      </w:r>
    </w:p>
    <w:p w14:paraId="1171229E" w14:textId="77777777" w:rsidR="00B750DD" w:rsidRPr="00B750DD" w:rsidRDefault="00B750DD" w:rsidP="00B750DD">
      <w:pPr>
        <w:pStyle w:val="Bibliographie"/>
        <w:rPr>
          <w:rFonts w:cs="Times New Roman"/>
        </w:rPr>
      </w:pPr>
      <w:r w:rsidRPr="00B750DD">
        <w:rPr>
          <w:rFonts w:cs="Times New Roman"/>
          <w:smallCaps/>
        </w:rPr>
        <w:t>Vassart</w:t>
      </w:r>
      <w:r w:rsidRPr="00B750DD">
        <w:rPr>
          <w:rFonts w:cs="Times New Roman"/>
        </w:rPr>
        <w:t xml:space="preserve"> Sabine, 2006, « Habiter », </w:t>
      </w:r>
      <w:r w:rsidRPr="00B750DD">
        <w:rPr>
          <w:rFonts w:cs="Times New Roman"/>
          <w:i/>
          <w:iCs/>
        </w:rPr>
        <w:t>Pensee plurielle</w:t>
      </w:r>
      <w:r w:rsidRPr="00B750DD">
        <w:rPr>
          <w:rFonts w:cs="Times New Roman"/>
        </w:rPr>
        <w:t>, 2006, vol. 12, n</w:t>
      </w:r>
      <w:r w:rsidRPr="00B750DD">
        <w:rPr>
          <w:rFonts w:cs="Times New Roman"/>
          <w:vertAlign w:val="superscript"/>
        </w:rPr>
        <w:t>o</w:t>
      </w:r>
      <w:r w:rsidRPr="00B750DD">
        <w:rPr>
          <w:rFonts w:cs="Times New Roman"/>
        </w:rPr>
        <w:t> 2, p. 9‑19.</w:t>
      </w:r>
    </w:p>
    <w:p w14:paraId="6B04FAC8" w14:textId="77777777" w:rsidR="00CB1290" w:rsidRDefault="00CB1290" w:rsidP="00BD6B08">
      <w:pPr>
        <w:jc w:val="both"/>
      </w:pPr>
      <w:bookmarkStart w:id="0" w:name="_GoBack"/>
      <w:bookmarkEnd w:id="0"/>
    </w:p>
    <w:sectPr w:rsidR="00CB1290" w:rsidSect="00AA27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A757E" w14:textId="77777777" w:rsidR="00214C14" w:rsidRDefault="00214C14" w:rsidP="00462CF6">
      <w:r>
        <w:separator/>
      </w:r>
    </w:p>
  </w:endnote>
  <w:endnote w:type="continuationSeparator" w:id="0">
    <w:p w14:paraId="61EB1504" w14:textId="77777777" w:rsidR="00214C14" w:rsidRDefault="00214C14" w:rsidP="0046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7D4B7" w14:textId="77777777" w:rsidR="00214C14" w:rsidRDefault="00214C14" w:rsidP="00462CF6">
      <w:r>
        <w:separator/>
      </w:r>
    </w:p>
  </w:footnote>
  <w:footnote w:type="continuationSeparator" w:id="0">
    <w:p w14:paraId="1EA11974" w14:textId="77777777" w:rsidR="00214C14" w:rsidRDefault="00214C14" w:rsidP="00462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4095"/>
    <w:multiLevelType w:val="hybridMultilevel"/>
    <w:tmpl w:val="91AE2DC0"/>
    <w:lvl w:ilvl="0" w:tplc="DD30F4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E02FD"/>
    <w:multiLevelType w:val="hybridMultilevel"/>
    <w:tmpl w:val="69A8B6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C4921"/>
    <w:multiLevelType w:val="hybridMultilevel"/>
    <w:tmpl w:val="F6886BC0"/>
    <w:lvl w:ilvl="0" w:tplc="FF90DA0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731F4"/>
    <w:multiLevelType w:val="hybridMultilevel"/>
    <w:tmpl w:val="DAE8A16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D4"/>
    <w:rsid w:val="0004377A"/>
    <w:rsid w:val="00047BAC"/>
    <w:rsid w:val="0007365C"/>
    <w:rsid w:val="000763B3"/>
    <w:rsid w:val="00081E5F"/>
    <w:rsid w:val="00091D60"/>
    <w:rsid w:val="000936DC"/>
    <w:rsid w:val="000A5F0E"/>
    <w:rsid w:val="000A6448"/>
    <w:rsid w:val="000A6676"/>
    <w:rsid w:val="000A74F8"/>
    <w:rsid w:val="000C78BF"/>
    <w:rsid w:val="000D25D0"/>
    <w:rsid w:val="000F05FB"/>
    <w:rsid w:val="0012066E"/>
    <w:rsid w:val="00126EC0"/>
    <w:rsid w:val="00142C0A"/>
    <w:rsid w:val="001570ED"/>
    <w:rsid w:val="001D2BFE"/>
    <w:rsid w:val="0020038E"/>
    <w:rsid w:val="00214C14"/>
    <w:rsid w:val="002665E5"/>
    <w:rsid w:val="002D2D2D"/>
    <w:rsid w:val="002F02E8"/>
    <w:rsid w:val="002F4E48"/>
    <w:rsid w:val="00315959"/>
    <w:rsid w:val="00351E4B"/>
    <w:rsid w:val="00356B42"/>
    <w:rsid w:val="00376F56"/>
    <w:rsid w:val="003B7206"/>
    <w:rsid w:val="003D2572"/>
    <w:rsid w:val="003D73C3"/>
    <w:rsid w:val="00422605"/>
    <w:rsid w:val="00462CF6"/>
    <w:rsid w:val="00463191"/>
    <w:rsid w:val="00463192"/>
    <w:rsid w:val="00472ED6"/>
    <w:rsid w:val="004801AA"/>
    <w:rsid w:val="004A2A7D"/>
    <w:rsid w:val="004B00DB"/>
    <w:rsid w:val="004D1E64"/>
    <w:rsid w:val="004D21D9"/>
    <w:rsid w:val="004E0B44"/>
    <w:rsid w:val="00506D16"/>
    <w:rsid w:val="00514184"/>
    <w:rsid w:val="00535786"/>
    <w:rsid w:val="005539D5"/>
    <w:rsid w:val="005951A1"/>
    <w:rsid w:val="005B649E"/>
    <w:rsid w:val="005C0AE9"/>
    <w:rsid w:val="005E0B61"/>
    <w:rsid w:val="005E3BE9"/>
    <w:rsid w:val="005E50C0"/>
    <w:rsid w:val="00603201"/>
    <w:rsid w:val="00615256"/>
    <w:rsid w:val="00667656"/>
    <w:rsid w:val="00696C29"/>
    <w:rsid w:val="007160A4"/>
    <w:rsid w:val="00720486"/>
    <w:rsid w:val="00724B93"/>
    <w:rsid w:val="00734331"/>
    <w:rsid w:val="0075619F"/>
    <w:rsid w:val="00760FC8"/>
    <w:rsid w:val="00762760"/>
    <w:rsid w:val="00770799"/>
    <w:rsid w:val="007755B4"/>
    <w:rsid w:val="007A36C5"/>
    <w:rsid w:val="007A3A68"/>
    <w:rsid w:val="007B5509"/>
    <w:rsid w:val="007C0B95"/>
    <w:rsid w:val="007D787E"/>
    <w:rsid w:val="007E1C21"/>
    <w:rsid w:val="008012D3"/>
    <w:rsid w:val="00832569"/>
    <w:rsid w:val="00844088"/>
    <w:rsid w:val="0087726F"/>
    <w:rsid w:val="0089658C"/>
    <w:rsid w:val="008A7B85"/>
    <w:rsid w:val="008C0461"/>
    <w:rsid w:val="008D237B"/>
    <w:rsid w:val="008E1BB9"/>
    <w:rsid w:val="008E5784"/>
    <w:rsid w:val="008F18BC"/>
    <w:rsid w:val="008F1A11"/>
    <w:rsid w:val="009263B0"/>
    <w:rsid w:val="00926E81"/>
    <w:rsid w:val="0093445E"/>
    <w:rsid w:val="00942924"/>
    <w:rsid w:val="00953086"/>
    <w:rsid w:val="00980FD2"/>
    <w:rsid w:val="00990BA4"/>
    <w:rsid w:val="009970FC"/>
    <w:rsid w:val="009B1168"/>
    <w:rsid w:val="009F099C"/>
    <w:rsid w:val="00A34FD4"/>
    <w:rsid w:val="00A4611E"/>
    <w:rsid w:val="00A75799"/>
    <w:rsid w:val="00A772D8"/>
    <w:rsid w:val="00A9749A"/>
    <w:rsid w:val="00AA27D6"/>
    <w:rsid w:val="00AD2F72"/>
    <w:rsid w:val="00AD681D"/>
    <w:rsid w:val="00AF01A6"/>
    <w:rsid w:val="00AF3057"/>
    <w:rsid w:val="00B127ED"/>
    <w:rsid w:val="00B160FC"/>
    <w:rsid w:val="00B22374"/>
    <w:rsid w:val="00B23B00"/>
    <w:rsid w:val="00B31426"/>
    <w:rsid w:val="00B333B2"/>
    <w:rsid w:val="00B51786"/>
    <w:rsid w:val="00B53BFA"/>
    <w:rsid w:val="00B56772"/>
    <w:rsid w:val="00B750DD"/>
    <w:rsid w:val="00B869C7"/>
    <w:rsid w:val="00B955F1"/>
    <w:rsid w:val="00BA32DB"/>
    <w:rsid w:val="00BD6B08"/>
    <w:rsid w:val="00C71D21"/>
    <w:rsid w:val="00C74B08"/>
    <w:rsid w:val="00CB1290"/>
    <w:rsid w:val="00CC3686"/>
    <w:rsid w:val="00CF373D"/>
    <w:rsid w:val="00D01659"/>
    <w:rsid w:val="00D034D5"/>
    <w:rsid w:val="00D26FDD"/>
    <w:rsid w:val="00D2743B"/>
    <w:rsid w:val="00D352CA"/>
    <w:rsid w:val="00D6668C"/>
    <w:rsid w:val="00D72533"/>
    <w:rsid w:val="00D77C7D"/>
    <w:rsid w:val="00D84EE2"/>
    <w:rsid w:val="00DE7648"/>
    <w:rsid w:val="00DF722B"/>
    <w:rsid w:val="00DF763A"/>
    <w:rsid w:val="00E05635"/>
    <w:rsid w:val="00E102B4"/>
    <w:rsid w:val="00E33D6F"/>
    <w:rsid w:val="00E6080B"/>
    <w:rsid w:val="00E620C5"/>
    <w:rsid w:val="00E70463"/>
    <w:rsid w:val="00EA0757"/>
    <w:rsid w:val="00EA5653"/>
    <w:rsid w:val="00EF3529"/>
    <w:rsid w:val="00F125D9"/>
    <w:rsid w:val="00F159DF"/>
    <w:rsid w:val="00F451C9"/>
    <w:rsid w:val="00F703C0"/>
    <w:rsid w:val="00F80D38"/>
    <w:rsid w:val="00F86562"/>
    <w:rsid w:val="00F8759E"/>
    <w:rsid w:val="00FB6A92"/>
    <w:rsid w:val="00FE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F3DE8"/>
  <w15:chartTrackingRefBased/>
  <w15:docId w15:val="{CB5B06B0-A084-324A-B102-0E7ABB6F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FD4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A34FD4"/>
    <w:pPr>
      <w:jc w:val="both"/>
    </w:pPr>
    <w:rPr>
      <w:rFonts w:ascii="Times New Roman" w:hAnsi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7627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62760"/>
    <w:rPr>
      <w:rFonts w:asciiTheme="minorHAnsi" w:hAnsiTheme="minorHAnsi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62760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2760"/>
    <w:rPr>
      <w:rFonts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2760"/>
    <w:rPr>
      <w:rFonts w:ascii="Times New Roman" w:hAnsi="Times New Roman" w:cs="Times New Roman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62CF6"/>
    <w:rPr>
      <w:rFonts w:asciiTheme="minorHAnsi" w:hAnsiTheme="minorHAns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2CF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2CF6"/>
    <w:rPr>
      <w:vertAlign w:val="superscript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62CF6"/>
    <w:rPr>
      <w:rFonts w:ascii="Times New Roman" w:hAnsi="Times New Roman"/>
    </w:rPr>
  </w:style>
  <w:style w:type="paragraph" w:styleId="Paragraphedeliste">
    <w:name w:val="List Paragraph"/>
    <w:basedOn w:val="Normal"/>
    <w:uiPriority w:val="34"/>
    <w:qFormat/>
    <w:rsid w:val="0089658C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02E8"/>
    <w:rPr>
      <w:rFonts w:ascii="Times New Roman" w:hAnsi="Times New Roman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02E8"/>
    <w:rPr>
      <w:rFonts w:ascii="Times New Roman" w:hAnsi="Times New Roman"/>
      <w:b/>
      <w:bCs/>
      <w:sz w:val="20"/>
      <w:szCs w:val="20"/>
    </w:rPr>
  </w:style>
  <w:style w:type="paragraph" w:customStyle="1" w:styleId="Bibliographie1">
    <w:name w:val="Bibliographie1"/>
    <w:basedOn w:val="Normal"/>
    <w:link w:val="BibliographyCar"/>
    <w:rsid w:val="003B7206"/>
    <w:pPr>
      <w:spacing w:after="240"/>
    </w:pPr>
    <w:rPr>
      <w:szCs w:val="22"/>
    </w:rPr>
  </w:style>
  <w:style w:type="character" w:customStyle="1" w:styleId="BibliographyCar">
    <w:name w:val="Bibliography Car"/>
    <w:basedOn w:val="SansinterligneCar"/>
    <w:link w:val="Bibliographie1"/>
    <w:rsid w:val="003B7206"/>
    <w:rPr>
      <w:rFonts w:ascii="Times New Roman" w:hAnsi="Times New Roman"/>
      <w:szCs w:val="22"/>
    </w:rPr>
  </w:style>
  <w:style w:type="paragraph" w:styleId="Bibliographie">
    <w:name w:val="Bibliography"/>
    <w:basedOn w:val="Normal"/>
    <w:next w:val="Normal"/>
    <w:uiPriority w:val="37"/>
    <w:unhideWhenUsed/>
    <w:rsid w:val="00E05635"/>
  </w:style>
  <w:style w:type="paragraph" w:styleId="Rvision">
    <w:name w:val="Revision"/>
    <w:hidden/>
    <w:uiPriority w:val="99"/>
    <w:semiHidden/>
    <w:rsid w:val="00E704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2934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Noémie RAPEGNO</cp:lastModifiedBy>
  <cp:revision>4</cp:revision>
  <dcterms:created xsi:type="dcterms:W3CDTF">2021-12-06T15:03:00Z</dcterms:created>
  <dcterms:modified xsi:type="dcterms:W3CDTF">2021-12-06T15:04:00Z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id="XWhfSZxp"/&gt;&lt;style id="http://www.zotero.org/styles/le-tapuscrit-author-date" hasBibliography="1" bibliographyStyleHasBeenSet="1"/&gt;&lt;prefs&gt;&lt;pref name="fieldType" value="Field"/&gt;&lt;pref name="automa</vt:lpwstr>
  </property>
  <property fmtid="{D5CDD505-2E9C-101B-9397-08002B2CF9AE}" pid="3" name="ZOTERO_PREF_2">
    <vt:lpwstr>ticJournalAbbreviations" value="true"/&gt;&lt;/prefs&gt;&lt;/data&gt;</vt:lpwstr>
  </property>
</Properties>
</file>