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3C294" w14:textId="77777777" w:rsidR="00A02028" w:rsidRDefault="00A02028" w:rsidP="00444073">
      <w:pPr>
        <w:jc w:val="center"/>
        <w:rPr>
          <w:rFonts w:eastAsia="Times New Roman" w:cs="Times New Roman"/>
          <w:b/>
          <w:bCs/>
          <w:color w:val="000000"/>
          <w:lang w:eastAsia="fr-FR"/>
        </w:rPr>
      </w:pPr>
    </w:p>
    <w:p w14:paraId="72B3A28F" w14:textId="0FA723A3" w:rsidR="00444073" w:rsidRPr="00444073" w:rsidRDefault="00444073" w:rsidP="00444073">
      <w:pPr>
        <w:jc w:val="center"/>
        <w:rPr>
          <w:rFonts w:ascii="Times New Roman" w:eastAsia="Times New Roman" w:hAnsi="Times New Roman" w:cs="Times New Roman"/>
          <w:b/>
          <w:bCs/>
          <w:lang w:eastAsia="fr-FR"/>
        </w:rPr>
      </w:pPr>
      <w:r w:rsidRPr="00444073">
        <w:rPr>
          <w:rFonts w:eastAsia="Times New Roman" w:cs="Times New Roman"/>
          <w:b/>
          <w:bCs/>
          <w:color w:val="000000"/>
          <w:lang w:eastAsia="fr-FR"/>
        </w:rPr>
        <w:t xml:space="preserve">Subir, </w:t>
      </w:r>
      <w:r w:rsidR="0086745E">
        <w:rPr>
          <w:rFonts w:eastAsia="Times New Roman" w:cs="Times New Roman"/>
          <w:b/>
          <w:bCs/>
          <w:color w:val="000000"/>
          <w:lang w:eastAsia="fr-FR"/>
        </w:rPr>
        <w:t>négocier</w:t>
      </w:r>
      <w:r w:rsidR="005A639F">
        <w:rPr>
          <w:rFonts w:eastAsia="Times New Roman" w:cs="Times New Roman"/>
          <w:b/>
          <w:bCs/>
          <w:color w:val="000000"/>
          <w:lang w:eastAsia="fr-FR"/>
        </w:rPr>
        <w:t xml:space="preserve">, </w:t>
      </w:r>
      <w:r w:rsidR="0086745E">
        <w:rPr>
          <w:rFonts w:eastAsia="Times New Roman" w:cs="Times New Roman"/>
          <w:b/>
          <w:bCs/>
          <w:color w:val="000000"/>
          <w:lang w:eastAsia="fr-FR"/>
        </w:rPr>
        <w:t>refuser</w:t>
      </w:r>
      <w:r w:rsidRPr="00444073">
        <w:rPr>
          <w:rFonts w:eastAsia="Times New Roman" w:cs="Times New Roman"/>
          <w:b/>
          <w:bCs/>
          <w:color w:val="000000"/>
          <w:lang w:eastAsia="fr-FR"/>
        </w:rPr>
        <w:t> : la réception différenciée de l’accompagnement à domicile</w:t>
      </w:r>
    </w:p>
    <w:p w14:paraId="7C3B1018" w14:textId="77777777" w:rsidR="00444073" w:rsidRDefault="00444073"/>
    <w:p w14:paraId="79E60F46" w14:textId="4A8EEF34" w:rsidR="00444073" w:rsidRPr="005A639F" w:rsidRDefault="005A639F" w:rsidP="005A639F">
      <w:pPr>
        <w:jc w:val="right"/>
        <w:rPr>
          <w:i/>
          <w:iCs/>
        </w:rPr>
      </w:pPr>
      <w:r w:rsidRPr="005A639F">
        <w:rPr>
          <w:i/>
          <w:iCs/>
        </w:rPr>
        <w:t xml:space="preserve">Marcos </w:t>
      </w:r>
      <w:proofErr w:type="spellStart"/>
      <w:r w:rsidRPr="005A639F">
        <w:rPr>
          <w:i/>
          <w:iCs/>
        </w:rPr>
        <w:t>Azevedo</w:t>
      </w:r>
      <w:proofErr w:type="spellEnd"/>
    </w:p>
    <w:p w14:paraId="687B6A17" w14:textId="29CB42E9" w:rsidR="005A639F" w:rsidRPr="005A639F" w:rsidRDefault="005A639F" w:rsidP="005A639F">
      <w:pPr>
        <w:jc w:val="right"/>
        <w:rPr>
          <w:sz w:val="20"/>
          <w:szCs w:val="20"/>
        </w:rPr>
      </w:pPr>
      <w:r w:rsidRPr="005A639F">
        <w:rPr>
          <w:sz w:val="20"/>
          <w:szCs w:val="20"/>
        </w:rPr>
        <w:t>Doctorant en sociologie à l’École des hautes études en sciences sociales (EHESS)</w:t>
      </w:r>
    </w:p>
    <w:p w14:paraId="75D2BF4E" w14:textId="08BA239D" w:rsidR="005A639F" w:rsidRPr="005A639F" w:rsidRDefault="005A639F" w:rsidP="005A639F">
      <w:pPr>
        <w:jc w:val="right"/>
        <w:rPr>
          <w:sz w:val="20"/>
          <w:szCs w:val="20"/>
        </w:rPr>
      </w:pPr>
      <w:r w:rsidRPr="005A639F">
        <w:rPr>
          <w:sz w:val="20"/>
          <w:szCs w:val="20"/>
        </w:rPr>
        <w:t>Centre d’étude des mouvements sociaux (CEMS)</w:t>
      </w:r>
    </w:p>
    <w:p w14:paraId="67F4EF7C" w14:textId="572893A0" w:rsidR="005A639F" w:rsidRPr="005A639F" w:rsidRDefault="005A639F" w:rsidP="005A639F">
      <w:pPr>
        <w:jc w:val="right"/>
        <w:rPr>
          <w:sz w:val="20"/>
          <w:szCs w:val="20"/>
        </w:rPr>
      </w:pPr>
      <w:r w:rsidRPr="005A639F">
        <w:rPr>
          <w:sz w:val="20"/>
          <w:szCs w:val="20"/>
        </w:rPr>
        <w:t>Centre de recherche médecine, sciences, santé, santé mentale, société (CERMES3).</w:t>
      </w:r>
    </w:p>
    <w:p w14:paraId="7A37DCBE" w14:textId="4C1C6E37" w:rsidR="005A639F" w:rsidRPr="005A639F" w:rsidRDefault="005A639F">
      <w:pPr>
        <w:rPr>
          <w:sz w:val="20"/>
          <w:szCs w:val="20"/>
        </w:rPr>
      </w:pPr>
    </w:p>
    <w:p w14:paraId="79BD244B" w14:textId="77777777" w:rsidR="005A639F" w:rsidRDefault="005A639F"/>
    <w:p w14:paraId="1817F45D" w14:textId="77777777" w:rsidR="00A02028" w:rsidRDefault="00A02028"/>
    <w:p w14:paraId="6CF4AC2E" w14:textId="4A10986E" w:rsidR="00B32BFB" w:rsidRPr="00073CBB" w:rsidRDefault="00AF3521" w:rsidP="00073CBB">
      <w:pPr>
        <w:pStyle w:val="Standard"/>
        <w:spacing w:after="240" w:line="360" w:lineRule="auto"/>
        <w:ind w:firstLine="708"/>
        <w:jc w:val="both"/>
        <w:rPr>
          <w:rFonts w:ascii="Times" w:hAnsi="Times"/>
          <w:color w:val="000000"/>
        </w:rPr>
      </w:pPr>
      <w:r w:rsidRPr="00AF3521">
        <w:rPr>
          <w:rFonts w:ascii="Times" w:hAnsi="Times"/>
        </w:rPr>
        <w:t xml:space="preserve">La réception de l’action publique peut être définie comme </w:t>
      </w:r>
      <w:r>
        <w:rPr>
          <w:rFonts w:ascii="Times" w:hAnsi="Times"/>
        </w:rPr>
        <w:t>« </w:t>
      </w:r>
      <w:r w:rsidRPr="00AF3521">
        <w:rPr>
          <w:rFonts w:ascii="Times" w:hAnsi="Times"/>
        </w:rPr>
        <w:t xml:space="preserve">l’ensemble des </w:t>
      </w:r>
      <w:r>
        <w:rPr>
          <w:rFonts w:ascii="Times" w:hAnsi="Times"/>
        </w:rPr>
        <w:t xml:space="preserve">processus </w:t>
      </w:r>
      <w:r w:rsidRPr="00AF3521">
        <w:rPr>
          <w:rFonts w:ascii="Times" w:hAnsi="Times"/>
        </w:rPr>
        <w:t xml:space="preserve">par lesquels une politique publique est </w:t>
      </w:r>
      <w:r>
        <w:rPr>
          <w:rFonts w:ascii="Times" w:hAnsi="Times"/>
        </w:rPr>
        <w:t>appropriée</w:t>
      </w:r>
      <w:r w:rsidRPr="00AF3521">
        <w:rPr>
          <w:rFonts w:ascii="Times" w:hAnsi="Times"/>
        </w:rPr>
        <w:t xml:space="preserve"> et </w:t>
      </w:r>
      <w:proofErr w:type="spellStart"/>
      <w:r w:rsidRPr="00AF3521">
        <w:rPr>
          <w:rFonts w:ascii="Times" w:hAnsi="Times"/>
        </w:rPr>
        <w:t>co</w:t>
      </w:r>
      <w:proofErr w:type="spellEnd"/>
      <w:r>
        <w:rPr>
          <w:rFonts w:ascii="Times" w:hAnsi="Times"/>
        </w:rPr>
        <w:t>-</w:t>
      </w:r>
      <w:r w:rsidRPr="00AF3521">
        <w:rPr>
          <w:rFonts w:ascii="Times" w:hAnsi="Times"/>
        </w:rPr>
        <w:t>construite par ses ressortissants, et par lesquels elle produit ses effets sur ceux-ci</w:t>
      </w:r>
      <w:r>
        <w:rPr>
          <w:rFonts w:ascii="Times" w:hAnsi="Times"/>
        </w:rPr>
        <w:t> »</w:t>
      </w:r>
      <w:r w:rsidR="00682963">
        <w:rPr>
          <w:rStyle w:val="Appelnotedebasdep"/>
          <w:rFonts w:ascii="Times" w:hAnsi="Times"/>
        </w:rPr>
        <w:footnoteReference w:id="1"/>
      </w:r>
      <w:r w:rsidRPr="00AF3521">
        <w:rPr>
          <w:rFonts w:ascii="Times" w:hAnsi="Times"/>
        </w:rPr>
        <w:t>.</w:t>
      </w:r>
      <w:r>
        <w:rPr>
          <w:rFonts w:ascii="Times" w:hAnsi="Times"/>
        </w:rPr>
        <w:t xml:space="preserve"> </w:t>
      </w:r>
      <w:r w:rsidR="00B72705">
        <w:rPr>
          <w:rFonts w:ascii="Times" w:hAnsi="Times"/>
        </w:rPr>
        <w:t xml:space="preserve">Il s’agit d’une approche </w:t>
      </w:r>
      <w:r w:rsidR="00CB0BAE">
        <w:rPr>
          <w:rFonts w:ascii="Times" w:hAnsi="Times"/>
        </w:rPr>
        <w:t>méthodologique</w:t>
      </w:r>
      <w:r w:rsidR="00B72705">
        <w:rPr>
          <w:rFonts w:ascii="Times" w:hAnsi="Times"/>
        </w:rPr>
        <w:t xml:space="preserve"> qui, appliquée au champ du handicap, </w:t>
      </w:r>
      <w:r w:rsidR="00B96854">
        <w:rPr>
          <w:rFonts w:ascii="Times" w:hAnsi="Times"/>
        </w:rPr>
        <w:t xml:space="preserve">peut contribuer à la production d’analyses </w:t>
      </w:r>
      <w:r w:rsidR="00524877">
        <w:rPr>
          <w:rFonts w:ascii="Times" w:hAnsi="Times"/>
        </w:rPr>
        <w:t>originales et</w:t>
      </w:r>
      <w:r w:rsidR="00375D65">
        <w:rPr>
          <w:rFonts w:ascii="Times" w:hAnsi="Times"/>
        </w:rPr>
        <w:t xml:space="preserve"> fructueuse</w:t>
      </w:r>
      <w:r w:rsidR="00A77D52">
        <w:rPr>
          <w:rFonts w:ascii="Times" w:hAnsi="Times"/>
        </w:rPr>
        <w:t>s portant sur</w:t>
      </w:r>
      <w:r w:rsidR="00DE3670">
        <w:rPr>
          <w:rFonts w:ascii="Times" w:hAnsi="Times"/>
        </w:rPr>
        <w:t xml:space="preserve"> l’autonomie et </w:t>
      </w:r>
      <w:r w:rsidR="00430D47">
        <w:rPr>
          <w:rFonts w:ascii="Times" w:hAnsi="Times"/>
        </w:rPr>
        <w:t>sur</w:t>
      </w:r>
      <w:r w:rsidR="00DE3670">
        <w:rPr>
          <w:rFonts w:ascii="Times" w:hAnsi="Times"/>
        </w:rPr>
        <w:t xml:space="preserve"> l’</w:t>
      </w:r>
      <w:proofErr w:type="spellStart"/>
      <w:r w:rsidR="00DE3670">
        <w:rPr>
          <w:rFonts w:ascii="Times" w:hAnsi="Times"/>
        </w:rPr>
        <w:t>agentivité</w:t>
      </w:r>
      <w:proofErr w:type="spellEnd"/>
      <w:r w:rsidR="00DE3670">
        <w:rPr>
          <w:rFonts w:ascii="Times" w:hAnsi="Times"/>
        </w:rPr>
        <w:t xml:space="preserve"> des personnes handicapées. </w:t>
      </w:r>
      <w:r w:rsidR="00F5416D">
        <w:rPr>
          <w:rFonts w:ascii="Times" w:hAnsi="Times"/>
        </w:rPr>
        <w:t xml:space="preserve">Dans cette communication, j’envisage d’étudier ces processus d’appropriation et de </w:t>
      </w:r>
      <w:proofErr w:type="spellStart"/>
      <w:r w:rsidR="00F5416D">
        <w:rPr>
          <w:rFonts w:ascii="Times" w:hAnsi="Times"/>
        </w:rPr>
        <w:t>co</w:t>
      </w:r>
      <w:proofErr w:type="spellEnd"/>
      <w:r w:rsidR="00F5416D">
        <w:rPr>
          <w:rFonts w:ascii="Times" w:hAnsi="Times"/>
        </w:rPr>
        <w:t>-construction de l’action publi</w:t>
      </w:r>
      <w:r w:rsidR="00812CCC">
        <w:rPr>
          <w:rFonts w:ascii="Times" w:hAnsi="Times"/>
        </w:rPr>
        <w:t>que</w:t>
      </w:r>
      <w:r w:rsidR="00F5416D">
        <w:rPr>
          <w:rFonts w:ascii="Times" w:hAnsi="Times"/>
        </w:rPr>
        <w:t xml:space="preserve"> à partir </w:t>
      </w:r>
      <w:r w:rsidR="00C32FB6">
        <w:rPr>
          <w:rFonts w:ascii="Times" w:hAnsi="Times"/>
        </w:rPr>
        <w:t>de</w:t>
      </w:r>
      <w:r w:rsidR="00F5416D">
        <w:rPr>
          <w:rFonts w:ascii="Times" w:hAnsi="Times"/>
        </w:rPr>
        <w:t xml:space="preserve"> l’accompagnement à domicile de personnes handicapées psychiques</w:t>
      </w:r>
      <w:r w:rsidR="00AF11F9">
        <w:rPr>
          <w:rFonts w:ascii="Times" w:hAnsi="Times"/>
        </w:rPr>
        <w:t xml:space="preserve"> en France</w:t>
      </w:r>
      <w:r w:rsidR="00F5416D">
        <w:rPr>
          <w:rFonts w:ascii="Times" w:hAnsi="Times"/>
        </w:rPr>
        <w:t>.</w:t>
      </w:r>
      <w:r w:rsidR="00812CCC">
        <w:rPr>
          <w:rFonts w:ascii="Times" w:hAnsi="Times"/>
        </w:rPr>
        <w:t xml:space="preserve"> Il s’agira de comprendre quels sont les effe</w:t>
      </w:r>
      <w:r w:rsidR="003E6734">
        <w:rPr>
          <w:rFonts w:ascii="Times" w:hAnsi="Times"/>
        </w:rPr>
        <w:t>ts</w:t>
      </w:r>
      <w:r w:rsidR="00812CCC">
        <w:rPr>
          <w:rFonts w:ascii="Times" w:hAnsi="Times"/>
        </w:rPr>
        <w:t xml:space="preserve"> et les usages </w:t>
      </w:r>
      <w:r w:rsidR="00104B9F">
        <w:rPr>
          <w:rFonts w:ascii="Times" w:hAnsi="Times"/>
        </w:rPr>
        <w:t>que font</w:t>
      </w:r>
      <w:r w:rsidR="004C5CB6">
        <w:rPr>
          <w:rFonts w:ascii="Times" w:hAnsi="Times"/>
        </w:rPr>
        <w:t xml:space="preserve"> </w:t>
      </w:r>
      <w:r w:rsidR="00104B9F">
        <w:rPr>
          <w:rFonts w:ascii="Times" w:hAnsi="Times"/>
        </w:rPr>
        <w:t>l</w:t>
      </w:r>
      <w:r w:rsidR="004C5CB6">
        <w:rPr>
          <w:rFonts w:ascii="Times" w:hAnsi="Times"/>
        </w:rPr>
        <w:t>es « personnes accompagnées »</w:t>
      </w:r>
      <w:r w:rsidR="00DC2226">
        <w:rPr>
          <w:rFonts w:ascii="Times" w:hAnsi="Times"/>
        </w:rPr>
        <w:t xml:space="preserve"> </w:t>
      </w:r>
      <w:r w:rsidR="008629B1">
        <w:rPr>
          <w:rFonts w:ascii="Times" w:hAnsi="Times"/>
        </w:rPr>
        <w:t>des</w:t>
      </w:r>
      <w:r w:rsidR="007C3DC8">
        <w:rPr>
          <w:rFonts w:ascii="Times" w:hAnsi="Times"/>
        </w:rPr>
        <w:t xml:space="preserve"> programmes d’accompagnement en santé mentale</w:t>
      </w:r>
      <w:r w:rsidR="008629B1">
        <w:rPr>
          <w:rFonts w:ascii="Times" w:hAnsi="Times"/>
        </w:rPr>
        <w:t xml:space="preserve">. </w:t>
      </w:r>
      <w:r w:rsidR="00073CBB">
        <w:rPr>
          <w:rFonts w:ascii="Times" w:hAnsi="Times"/>
          <w:color w:val="000000"/>
        </w:rPr>
        <w:t xml:space="preserve">À travers cette </w:t>
      </w:r>
      <w:r w:rsidR="00073CBB">
        <w:rPr>
          <w:rFonts w:ascii="Times" w:hAnsi="Times"/>
          <w:color w:val="000000"/>
        </w:rPr>
        <w:t>étude</w:t>
      </w:r>
      <w:r w:rsidR="00073CBB">
        <w:rPr>
          <w:rFonts w:ascii="Times" w:hAnsi="Times"/>
          <w:color w:val="000000"/>
        </w:rPr>
        <w:t>, je souhaite discuter des frontières poreuses entre « </w:t>
      </w:r>
      <w:proofErr w:type="spellStart"/>
      <w:r w:rsidR="00073CBB">
        <w:rPr>
          <w:rFonts w:ascii="Times" w:hAnsi="Times"/>
          <w:color w:val="000000"/>
        </w:rPr>
        <w:t>désinsitutionalisation</w:t>
      </w:r>
      <w:proofErr w:type="spellEnd"/>
      <w:r w:rsidR="00073CBB">
        <w:rPr>
          <w:rFonts w:ascii="Times" w:hAnsi="Times"/>
          <w:color w:val="000000"/>
        </w:rPr>
        <w:t xml:space="preserve"> » </w:t>
      </w:r>
      <w:r w:rsidR="00073CBB">
        <w:rPr>
          <w:rFonts w:ascii="Times" w:hAnsi="Times"/>
          <w:color w:val="000000"/>
        </w:rPr>
        <w:t xml:space="preserve">via le domicile </w:t>
      </w:r>
      <w:r w:rsidR="00073CBB">
        <w:rPr>
          <w:rFonts w:ascii="Times" w:hAnsi="Times"/>
          <w:color w:val="000000"/>
        </w:rPr>
        <w:t>et « </w:t>
      </w:r>
      <w:r w:rsidR="00073CBB">
        <w:rPr>
          <w:rFonts w:ascii="Times" w:hAnsi="Times"/>
          <w:color w:val="000000"/>
        </w:rPr>
        <w:t>d’</w:t>
      </w:r>
      <w:proofErr w:type="spellStart"/>
      <w:r w:rsidR="00073CBB">
        <w:rPr>
          <w:rFonts w:ascii="Times" w:hAnsi="Times"/>
          <w:color w:val="000000"/>
        </w:rPr>
        <w:t>institutionalisation</w:t>
      </w:r>
      <w:proofErr w:type="spellEnd"/>
      <w:r w:rsidR="00073CBB">
        <w:rPr>
          <w:rFonts w:ascii="Times" w:hAnsi="Times"/>
          <w:color w:val="000000"/>
        </w:rPr>
        <w:t xml:space="preserve"> » </w:t>
      </w:r>
      <w:r w:rsidR="00073CBB">
        <w:rPr>
          <w:rFonts w:ascii="Times" w:hAnsi="Times"/>
          <w:color w:val="000000"/>
        </w:rPr>
        <w:t>du</w:t>
      </w:r>
      <w:r w:rsidR="00073CBB">
        <w:rPr>
          <w:rFonts w:ascii="Times" w:hAnsi="Times"/>
          <w:color w:val="000000"/>
        </w:rPr>
        <w:t xml:space="preserve"> domicile</w:t>
      </w:r>
      <w:r w:rsidR="00F36487">
        <w:rPr>
          <w:rFonts w:ascii="Times" w:hAnsi="Times"/>
          <w:color w:val="000000"/>
        </w:rPr>
        <w:t xml:space="preserve"> (</w:t>
      </w:r>
      <w:r w:rsidR="0088610B">
        <w:rPr>
          <w:rFonts w:ascii="Times" w:hAnsi="Times"/>
          <w:color w:val="000000"/>
        </w:rPr>
        <w:t>Bresson, 2018)</w:t>
      </w:r>
      <w:r w:rsidR="003A5C04">
        <w:rPr>
          <w:rStyle w:val="Appelnotedebasdep"/>
          <w:rFonts w:ascii="Times" w:hAnsi="Times"/>
          <w:color w:val="000000"/>
        </w:rPr>
        <w:footnoteReference w:id="2"/>
      </w:r>
      <w:r w:rsidR="00073CBB">
        <w:rPr>
          <w:rFonts w:ascii="Times" w:hAnsi="Times"/>
          <w:color w:val="000000"/>
        </w:rPr>
        <w:t>.</w:t>
      </w:r>
      <w:r w:rsidR="00073CBB">
        <w:rPr>
          <w:rFonts w:ascii="Times" w:hAnsi="Times"/>
          <w:color w:val="000000"/>
        </w:rPr>
        <w:t xml:space="preserve"> </w:t>
      </w:r>
      <w:r w:rsidR="008629B1">
        <w:rPr>
          <w:rFonts w:ascii="Times" w:hAnsi="Times"/>
        </w:rPr>
        <w:t xml:space="preserve">Cette analyse </w:t>
      </w:r>
      <w:r w:rsidR="00B8306E">
        <w:rPr>
          <w:rFonts w:ascii="Times" w:hAnsi="Times"/>
        </w:rPr>
        <w:t>se concentrera</w:t>
      </w:r>
      <w:r w:rsidR="00CB0313">
        <w:rPr>
          <w:rFonts w:ascii="Times" w:hAnsi="Times"/>
        </w:rPr>
        <w:t xml:space="preserve"> principalement </w:t>
      </w:r>
      <w:r w:rsidR="008629B1">
        <w:rPr>
          <w:rFonts w:ascii="Times" w:hAnsi="Times"/>
        </w:rPr>
        <w:t>sur</w:t>
      </w:r>
      <w:r w:rsidR="00CB0313">
        <w:rPr>
          <w:rFonts w:ascii="Times" w:hAnsi="Times"/>
        </w:rPr>
        <w:t xml:space="preserve"> la notion de « choix »</w:t>
      </w:r>
      <w:r w:rsidR="008629B1">
        <w:rPr>
          <w:rFonts w:ascii="Times" w:hAnsi="Times"/>
        </w:rPr>
        <w:t xml:space="preserve"> : choix de modalité d’accompagnement, choix résidentiel, choix </w:t>
      </w:r>
      <w:r w:rsidR="00235E07">
        <w:rPr>
          <w:rFonts w:ascii="Times" w:hAnsi="Times"/>
        </w:rPr>
        <w:t xml:space="preserve">concernant la fréquence et la régularité des visites à domicile. </w:t>
      </w:r>
      <w:r w:rsidR="000377F4">
        <w:rPr>
          <w:rFonts w:ascii="Times" w:hAnsi="Times"/>
        </w:rPr>
        <w:t>À cet égard, quel marge de choix pour les personnes accompagnées ? Dans quelle mesure ces choix sont</w:t>
      </w:r>
      <w:r w:rsidR="007B087F">
        <w:rPr>
          <w:rFonts w:ascii="Times" w:hAnsi="Times"/>
        </w:rPr>
        <w:t>-ils</w:t>
      </w:r>
      <w:r w:rsidR="000377F4">
        <w:rPr>
          <w:rFonts w:ascii="Times" w:hAnsi="Times"/>
        </w:rPr>
        <w:t xml:space="preserve"> déterminés p</w:t>
      </w:r>
      <w:r w:rsidR="00A1005C">
        <w:rPr>
          <w:rFonts w:ascii="Times" w:hAnsi="Times"/>
        </w:rPr>
        <w:t>ar leurs trajectoires</w:t>
      </w:r>
      <w:r w:rsidR="000377F4">
        <w:rPr>
          <w:rFonts w:ascii="Times" w:hAnsi="Times"/>
        </w:rPr>
        <w:t xml:space="preserve"> </w:t>
      </w:r>
      <w:r w:rsidR="006F2274">
        <w:rPr>
          <w:rFonts w:ascii="Times" w:hAnsi="Times"/>
        </w:rPr>
        <w:t>individuelles</w:t>
      </w:r>
      <w:r w:rsidR="000377F4">
        <w:rPr>
          <w:rFonts w:ascii="Times" w:hAnsi="Times"/>
        </w:rPr>
        <w:t xml:space="preserve">, d’une part, et </w:t>
      </w:r>
      <w:r w:rsidR="00F80732">
        <w:rPr>
          <w:rFonts w:ascii="Times" w:hAnsi="Times"/>
        </w:rPr>
        <w:t xml:space="preserve">régulés </w:t>
      </w:r>
      <w:r w:rsidR="000377F4">
        <w:rPr>
          <w:rFonts w:ascii="Times" w:hAnsi="Times"/>
        </w:rPr>
        <w:t>par les structures d’accompagnement, d’autre part ?</w:t>
      </w:r>
      <w:r w:rsidR="00C24C75">
        <w:rPr>
          <w:rFonts w:ascii="Times" w:hAnsi="Times"/>
        </w:rPr>
        <w:t xml:space="preserve"> </w:t>
      </w:r>
    </w:p>
    <w:p w14:paraId="406ACA30" w14:textId="0170F0B7" w:rsidR="00124F29" w:rsidRDefault="002D53A6" w:rsidP="00B8306E">
      <w:pPr>
        <w:pStyle w:val="Standard"/>
        <w:spacing w:after="240" w:line="360" w:lineRule="auto"/>
        <w:ind w:firstLine="708"/>
        <w:jc w:val="both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Cette communication repose </w:t>
      </w:r>
      <w:r w:rsidR="00051973">
        <w:rPr>
          <w:rFonts w:ascii="Times" w:hAnsi="Times"/>
          <w:color w:val="000000"/>
        </w:rPr>
        <w:t xml:space="preserve">sur </w:t>
      </w:r>
      <w:r w:rsidR="007B087F">
        <w:rPr>
          <w:rFonts w:ascii="Times" w:hAnsi="Times"/>
          <w:color w:val="000000"/>
        </w:rPr>
        <w:t xml:space="preserve">une </w:t>
      </w:r>
      <w:r w:rsidR="00622DD4">
        <w:rPr>
          <w:rFonts w:ascii="Times" w:hAnsi="Times"/>
          <w:color w:val="000000"/>
        </w:rPr>
        <w:t xml:space="preserve">enquête de terrain, </w:t>
      </w:r>
      <w:r w:rsidR="00392640">
        <w:rPr>
          <w:rFonts w:ascii="Times" w:hAnsi="Times"/>
          <w:color w:val="000000"/>
        </w:rPr>
        <w:t>réalisée</w:t>
      </w:r>
      <w:r w:rsidR="00622DD4">
        <w:rPr>
          <w:rFonts w:ascii="Times" w:hAnsi="Times"/>
          <w:color w:val="000000"/>
        </w:rPr>
        <w:t xml:space="preserve"> dans le cadre d’une recherche doctorale, </w:t>
      </w:r>
      <w:r w:rsidR="00392640">
        <w:rPr>
          <w:rFonts w:ascii="Times" w:hAnsi="Times"/>
          <w:color w:val="000000"/>
        </w:rPr>
        <w:t xml:space="preserve">menée </w:t>
      </w:r>
      <w:r w:rsidR="00622DD4">
        <w:rPr>
          <w:rFonts w:ascii="Times" w:hAnsi="Times"/>
          <w:color w:val="000000"/>
        </w:rPr>
        <w:t xml:space="preserve">au sein de trois structures </w:t>
      </w:r>
      <w:r w:rsidR="00F16C6B">
        <w:rPr>
          <w:rFonts w:ascii="Times" w:hAnsi="Times"/>
          <w:color w:val="000000"/>
        </w:rPr>
        <w:t xml:space="preserve">d’accompagnement </w:t>
      </w:r>
      <w:r w:rsidR="0069503A">
        <w:rPr>
          <w:rFonts w:ascii="Times" w:hAnsi="Times"/>
          <w:color w:val="000000"/>
        </w:rPr>
        <w:t>de personnes vivant avec des troubles psychiques :</w:t>
      </w:r>
      <w:r w:rsidR="00622DD4">
        <w:rPr>
          <w:rFonts w:ascii="Times" w:hAnsi="Times"/>
          <w:color w:val="000000"/>
        </w:rPr>
        <w:t xml:space="preserve"> </w:t>
      </w:r>
      <w:r w:rsidR="00DF1B21">
        <w:rPr>
          <w:rFonts w:ascii="Times" w:hAnsi="Times"/>
          <w:color w:val="000000"/>
        </w:rPr>
        <w:t xml:space="preserve">un ensemble de </w:t>
      </w:r>
      <w:r w:rsidR="00C4136D">
        <w:rPr>
          <w:rFonts w:ascii="Times" w:hAnsi="Times"/>
          <w:color w:val="000000"/>
        </w:rPr>
        <w:t>logements accompagnés</w:t>
      </w:r>
      <w:r w:rsidR="008945EB">
        <w:rPr>
          <w:rStyle w:val="Appelnotedebasdep"/>
          <w:rFonts w:ascii="Times" w:hAnsi="Times"/>
          <w:color w:val="000000"/>
        </w:rPr>
        <w:footnoteReference w:id="3"/>
      </w:r>
      <w:r w:rsidR="002D2AB0">
        <w:rPr>
          <w:rFonts w:ascii="Times" w:hAnsi="Times"/>
          <w:color w:val="000000"/>
        </w:rPr>
        <w:t xml:space="preserve">, un Service d’accompagnement médico-social pour adultes handicapés (SAMSAH) et un Service d’accompagnement à la vie sociale (SAVS). </w:t>
      </w:r>
      <w:r w:rsidR="00F85916">
        <w:rPr>
          <w:rFonts w:ascii="Times" w:hAnsi="Times"/>
          <w:color w:val="000000"/>
        </w:rPr>
        <w:t xml:space="preserve">De 2016 à 2018, </w:t>
      </w:r>
      <w:r w:rsidR="00170BA6">
        <w:rPr>
          <w:rFonts w:ascii="Times" w:hAnsi="Times"/>
          <w:color w:val="000000"/>
        </w:rPr>
        <w:t xml:space="preserve">j’ai </w:t>
      </w:r>
      <w:r w:rsidR="004B0C5B">
        <w:rPr>
          <w:rFonts w:ascii="Times" w:hAnsi="Times"/>
          <w:color w:val="000000"/>
        </w:rPr>
        <w:t xml:space="preserve">observé le travail de ces </w:t>
      </w:r>
      <w:r w:rsidR="004B0C5B">
        <w:rPr>
          <w:rFonts w:ascii="Times" w:hAnsi="Times"/>
          <w:color w:val="000000"/>
        </w:rPr>
        <w:lastRenderedPageBreak/>
        <w:t xml:space="preserve">équipes, interviewé leurs membres et une partie des personnes accompagnées </w:t>
      </w:r>
      <w:r w:rsidR="006B2241">
        <w:rPr>
          <w:rFonts w:ascii="Times" w:hAnsi="Times"/>
          <w:color w:val="000000"/>
        </w:rPr>
        <w:t>afin</w:t>
      </w:r>
      <w:r w:rsidR="004D7234">
        <w:rPr>
          <w:rFonts w:ascii="Times" w:hAnsi="Times"/>
          <w:color w:val="000000"/>
        </w:rPr>
        <w:t xml:space="preserve"> de documenter la diversité de pratiques d’accompagnement et</w:t>
      </w:r>
      <w:r w:rsidR="00604142">
        <w:rPr>
          <w:rFonts w:ascii="Times" w:hAnsi="Times"/>
          <w:color w:val="000000"/>
        </w:rPr>
        <w:t xml:space="preserve"> de comprendre </w:t>
      </w:r>
      <w:r w:rsidR="00162CE4">
        <w:rPr>
          <w:rFonts w:ascii="Times" w:hAnsi="Times"/>
          <w:color w:val="000000"/>
        </w:rPr>
        <w:t>dans quelle mesure</w:t>
      </w:r>
      <w:r w:rsidR="00604142">
        <w:rPr>
          <w:rFonts w:ascii="Times" w:hAnsi="Times"/>
          <w:color w:val="000000"/>
        </w:rPr>
        <w:t xml:space="preserve"> ces pratiques </w:t>
      </w:r>
      <w:r w:rsidR="00162CE4">
        <w:rPr>
          <w:rFonts w:ascii="Times" w:hAnsi="Times"/>
          <w:color w:val="000000"/>
        </w:rPr>
        <w:t xml:space="preserve">sont promotrices (ou non) de participation sociale et </w:t>
      </w:r>
      <w:r w:rsidR="00787938">
        <w:rPr>
          <w:rFonts w:ascii="Times" w:hAnsi="Times"/>
          <w:color w:val="000000"/>
        </w:rPr>
        <w:t>d’autonomie à domicile.</w:t>
      </w:r>
    </w:p>
    <w:p w14:paraId="5C4A0362" w14:textId="5F42C467" w:rsidR="00170BA6" w:rsidRDefault="00D41F91" w:rsidP="00B8306E">
      <w:pPr>
        <w:pStyle w:val="Standard"/>
        <w:spacing w:after="240" w:line="360" w:lineRule="auto"/>
        <w:ind w:firstLine="708"/>
        <w:jc w:val="both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Dans cette présentation, </w:t>
      </w:r>
      <w:r w:rsidR="00050E96">
        <w:rPr>
          <w:rFonts w:ascii="Times" w:hAnsi="Times"/>
          <w:color w:val="000000"/>
        </w:rPr>
        <w:t xml:space="preserve">à des fins heuristiques, </w:t>
      </w:r>
      <w:r>
        <w:rPr>
          <w:rFonts w:ascii="Times" w:hAnsi="Times"/>
          <w:color w:val="000000"/>
        </w:rPr>
        <w:t xml:space="preserve">j’analyserai trois </w:t>
      </w:r>
      <w:r w:rsidR="00050E96">
        <w:rPr>
          <w:rFonts w:ascii="Times" w:hAnsi="Times"/>
          <w:color w:val="000000"/>
        </w:rPr>
        <w:t>« </w:t>
      </w:r>
      <w:r>
        <w:rPr>
          <w:rFonts w:ascii="Times" w:hAnsi="Times"/>
          <w:color w:val="000000"/>
        </w:rPr>
        <w:t>modalités</w:t>
      </w:r>
      <w:r w:rsidR="00050E96">
        <w:rPr>
          <w:rFonts w:ascii="Times" w:hAnsi="Times"/>
          <w:color w:val="000000"/>
        </w:rPr>
        <w:t> »</w:t>
      </w:r>
      <w:r>
        <w:rPr>
          <w:rFonts w:ascii="Times" w:hAnsi="Times"/>
          <w:color w:val="000000"/>
        </w:rPr>
        <w:t xml:space="preserve"> de réception de </w:t>
      </w:r>
      <w:r w:rsidR="00814A45">
        <w:rPr>
          <w:rFonts w:ascii="Times" w:hAnsi="Times"/>
          <w:color w:val="000000"/>
        </w:rPr>
        <w:t xml:space="preserve">l’accompagnement en rapport avec les possibilités </w:t>
      </w:r>
      <w:r w:rsidR="00751388">
        <w:rPr>
          <w:rFonts w:ascii="Times" w:hAnsi="Times"/>
          <w:color w:val="000000"/>
        </w:rPr>
        <w:t>de choix</w:t>
      </w:r>
      <w:r w:rsidR="00EC545A">
        <w:rPr>
          <w:rFonts w:ascii="Times" w:hAnsi="Times"/>
          <w:color w:val="000000"/>
        </w:rPr>
        <w:t xml:space="preserve"> </w:t>
      </w:r>
      <w:r w:rsidR="00F85EB7">
        <w:rPr>
          <w:rFonts w:ascii="Times" w:hAnsi="Times"/>
          <w:color w:val="000000"/>
        </w:rPr>
        <w:t>des</w:t>
      </w:r>
      <w:r w:rsidR="00EC545A">
        <w:rPr>
          <w:rFonts w:ascii="Times" w:hAnsi="Times"/>
          <w:color w:val="000000"/>
        </w:rPr>
        <w:t xml:space="preserve"> personnes accompagnées : </w:t>
      </w:r>
      <w:r w:rsidR="00CB45C1">
        <w:rPr>
          <w:rFonts w:ascii="Times" w:hAnsi="Times"/>
          <w:color w:val="000000"/>
        </w:rPr>
        <w:t>(i) un non-choix qui les conduit à subir l’accompagnement</w:t>
      </w:r>
      <w:r w:rsidR="0017557B">
        <w:rPr>
          <w:rFonts w:ascii="Times" w:hAnsi="Times"/>
          <w:color w:val="000000"/>
        </w:rPr>
        <w:t xml:space="preserve">, </w:t>
      </w:r>
      <w:r w:rsidR="007B47FD">
        <w:rPr>
          <w:rFonts w:ascii="Times" w:hAnsi="Times"/>
          <w:color w:val="000000"/>
        </w:rPr>
        <w:t xml:space="preserve">par manque </w:t>
      </w:r>
      <w:r w:rsidR="00522E53">
        <w:rPr>
          <w:rFonts w:ascii="Times" w:hAnsi="Times"/>
          <w:color w:val="000000"/>
        </w:rPr>
        <w:t>de réelles possibilités</w:t>
      </w:r>
      <w:r w:rsidR="001D13D2">
        <w:rPr>
          <w:rFonts w:ascii="Times" w:hAnsi="Times"/>
          <w:color w:val="000000"/>
        </w:rPr>
        <w:t xml:space="preserve"> d’accès à un logement dit autonome, notamment</w:t>
      </w:r>
      <w:r w:rsidR="00E93EC1">
        <w:rPr>
          <w:rStyle w:val="Appelnotedebasdep"/>
          <w:rFonts w:ascii="Times" w:hAnsi="Times"/>
          <w:color w:val="000000"/>
        </w:rPr>
        <w:footnoteReference w:id="4"/>
      </w:r>
      <w:r w:rsidR="007B47FD">
        <w:rPr>
          <w:rFonts w:ascii="Times" w:hAnsi="Times"/>
          <w:color w:val="000000"/>
        </w:rPr>
        <w:t xml:space="preserve"> ; (ii) </w:t>
      </w:r>
      <w:r w:rsidR="0037182D">
        <w:rPr>
          <w:rFonts w:ascii="Times" w:hAnsi="Times"/>
          <w:color w:val="000000"/>
        </w:rPr>
        <w:t xml:space="preserve">une réception </w:t>
      </w:r>
      <w:r w:rsidR="000C3ACB">
        <w:rPr>
          <w:rFonts w:ascii="Times" w:hAnsi="Times"/>
          <w:color w:val="000000"/>
        </w:rPr>
        <w:t>selon</w:t>
      </w:r>
      <w:r w:rsidR="0037182D">
        <w:rPr>
          <w:rFonts w:ascii="Times" w:hAnsi="Times"/>
          <w:color w:val="000000"/>
        </w:rPr>
        <w:t xml:space="preserve"> laquelle les modalités pratiques </w:t>
      </w:r>
      <w:r w:rsidR="000C3ACB">
        <w:rPr>
          <w:rFonts w:ascii="Times" w:hAnsi="Times"/>
          <w:color w:val="000000"/>
        </w:rPr>
        <w:t>d’accompagnement</w:t>
      </w:r>
      <w:r w:rsidR="0037182D">
        <w:rPr>
          <w:rFonts w:ascii="Times" w:hAnsi="Times"/>
          <w:color w:val="000000"/>
        </w:rPr>
        <w:t xml:space="preserve"> sont négociées au jour le jour, notamment en ce qui concerne les horaires, durées et régularités des interventions ; et, enfin, (iii) u</w:t>
      </w:r>
      <w:r w:rsidR="007B3A59">
        <w:rPr>
          <w:rFonts w:ascii="Times" w:hAnsi="Times"/>
          <w:color w:val="000000"/>
        </w:rPr>
        <w:t xml:space="preserve">ne réception </w:t>
      </w:r>
      <w:r w:rsidR="00F85EB7">
        <w:rPr>
          <w:rFonts w:ascii="Times" w:hAnsi="Times"/>
          <w:color w:val="000000"/>
        </w:rPr>
        <w:t>de l’accompagnement marquée par l’évitement</w:t>
      </w:r>
      <w:r w:rsidR="004669AE">
        <w:rPr>
          <w:rFonts w:ascii="Times" w:hAnsi="Times"/>
          <w:color w:val="000000"/>
        </w:rPr>
        <w:t xml:space="preserve"> ou le refus (d’appels, de visites, d’aide)</w:t>
      </w:r>
      <w:r w:rsidR="000D0AB8">
        <w:rPr>
          <w:rFonts w:ascii="Times" w:hAnsi="Times"/>
          <w:color w:val="000000"/>
        </w:rPr>
        <w:t xml:space="preserve"> de la part des personnes accompagnées</w:t>
      </w:r>
      <w:r w:rsidR="004669AE">
        <w:rPr>
          <w:rFonts w:ascii="Times" w:hAnsi="Times"/>
          <w:color w:val="000000"/>
        </w:rPr>
        <w:t>.</w:t>
      </w:r>
      <w:r w:rsidR="000D0AB8">
        <w:rPr>
          <w:rFonts w:ascii="Times" w:hAnsi="Times"/>
          <w:color w:val="000000"/>
        </w:rPr>
        <w:t xml:space="preserve"> </w:t>
      </w:r>
      <w:r w:rsidR="00E1038E">
        <w:rPr>
          <w:rFonts w:ascii="Times" w:hAnsi="Times"/>
          <w:color w:val="000000"/>
        </w:rPr>
        <w:t xml:space="preserve">Dans chacune de ces modalités, </w:t>
      </w:r>
      <w:r w:rsidR="00A6416B">
        <w:rPr>
          <w:rFonts w:ascii="Times" w:hAnsi="Times"/>
          <w:color w:val="000000"/>
        </w:rPr>
        <w:t xml:space="preserve">ces personnes participent, plus ou moins activement, à la </w:t>
      </w:r>
      <w:proofErr w:type="spellStart"/>
      <w:r w:rsidR="00A6416B">
        <w:rPr>
          <w:rFonts w:ascii="Times" w:hAnsi="Times"/>
          <w:color w:val="000000"/>
        </w:rPr>
        <w:t>co</w:t>
      </w:r>
      <w:proofErr w:type="spellEnd"/>
      <w:r w:rsidR="00A6416B">
        <w:rPr>
          <w:rFonts w:ascii="Times" w:hAnsi="Times"/>
          <w:color w:val="000000"/>
        </w:rPr>
        <w:t xml:space="preserve">-construction </w:t>
      </w:r>
      <w:r w:rsidR="00074ED6">
        <w:rPr>
          <w:rFonts w:ascii="Times" w:hAnsi="Times"/>
          <w:color w:val="000000"/>
        </w:rPr>
        <w:t>de la politique de désinstitutionalisation via le domicile et d’</w:t>
      </w:r>
      <w:proofErr w:type="spellStart"/>
      <w:r w:rsidR="00074ED6">
        <w:rPr>
          <w:rFonts w:ascii="Times" w:hAnsi="Times"/>
          <w:color w:val="000000"/>
        </w:rPr>
        <w:t>institutionalisation</w:t>
      </w:r>
      <w:proofErr w:type="spellEnd"/>
      <w:r w:rsidR="00074ED6">
        <w:rPr>
          <w:rFonts w:ascii="Times" w:hAnsi="Times"/>
          <w:color w:val="000000"/>
        </w:rPr>
        <w:t xml:space="preserve"> du domicile au sein des politiques de santé mentale et du handicap.</w:t>
      </w:r>
    </w:p>
    <w:p w14:paraId="1CAC8378" w14:textId="77777777" w:rsidR="00787938" w:rsidRDefault="00787938" w:rsidP="00B8306E">
      <w:pPr>
        <w:pStyle w:val="Standard"/>
        <w:spacing w:after="240" w:line="360" w:lineRule="auto"/>
        <w:ind w:firstLine="708"/>
        <w:jc w:val="both"/>
        <w:rPr>
          <w:rFonts w:ascii="Times" w:hAnsi="Times"/>
          <w:color w:val="000000"/>
        </w:rPr>
      </w:pPr>
    </w:p>
    <w:p w14:paraId="2194ED89" w14:textId="69696D45" w:rsidR="00C4136D" w:rsidRDefault="00C4136D" w:rsidP="00B8306E">
      <w:pPr>
        <w:pStyle w:val="Standard"/>
        <w:spacing w:after="240" w:line="360" w:lineRule="auto"/>
        <w:ind w:firstLine="708"/>
        <w:jc w:val="both"/>
        <w:rPr>
          <w:rFonts w:ascii="Times" w:hAnsi="Times"/>
          <w:color w:val="000000"/>
        </w:rPr>
      </w:pPr>
    </w:p>
    <w:p w14:paraId="69197699" w14:textId="10E7B53C" w:rsidR="00390D27" w:rsidRDefault="00390D27" w:rsidP="00390D27">
      <w:pPr>
        <w:pStyle w:val="Standard"/>
        <w:spacing w:after="240" w:line="360" w:lineRule="auto"/>
        <w:jc w:val="both"/>
        <w:rPr>
          <w:rFonts w:ascii="Times" w:hAnsi="Times"/>
          <w:color w:val="000000"/>
        </w:rPr>
      </w:pPr>
    </w:p>
    <w:p w14:paraId="2420769F" w14:textId="77777777" w:rsidR="00390D27" w:rsidRDefault="00390D27" w:rsidP="00390D27">
      <w:pPr>
        <w:pStyle w:val="Standard"/>
        <w:spacing w:after="240" w:line="360" w:lineRule="auto"/>
        <w:jc w:val="both"/>
        <w:rPr>
          <w:rFonts w:ascii="Times" w:hAnsi="Times"/>
          <w:color w:val="000000"/>
        </w:rPr>
      </w:pPr>
    </w:p>
    <w:p w14:paraId="0EBBA078" w14:textId="4F07C674" w:rsidR="00743926" w:rsidRDefault="00743926" w:rsidP="00B8306E">
      <w:pPr>
        <w:pStyle w:val="Standard"/>
        <w:spacing w:after="240" w:line="360" w:lineRule="auto"/>
        <w:ind w:firstLine="708"/>
        <w:jc w:val="both"/>
        <w:rPr>
          <w:rFonts w:ascii="Times" w:hAnsi="Times"/>
          <w:color w:val="000000"/>
        </w:rPr>
      </w:pPr>
    </w:p>
    <w:sectPr w:rsidR="0074392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956F8" w14:textId="77777777" w:rsidR="00F21085" w:rsidRDefault="00F21085" w:rsidP="005A639F">
      <w:r>
        <w:separator/>
      </w:r>
    </w:p>
  </w:endnote>
  <w:endnote w:type="continuationSeparator" w:id="0">
    <w:p w14:paraId="02990479" w14:textId="77777777" w:rsidR="00F21085" w:rsidRDefault="00F21085" w:rsidP="005A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altName w:val="﷽﷽﷽﷽﷽﷽ȀȂȂȂĂāȂȂȂȂȁȂȂȂЂĀā쀀䁦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﷽﷽﷽﷽﷽﷽﷽﷽Ā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715D1" w14:textId="77777777" w:rsidR="00F21085" w:rsidRDefault="00F21085" w:rsidP="005A639F">
      <w:r>
        <w:separator/>
      </w:r>
    </w:p>
  </w:footnote>
  <w:footnote w:type="continuationSeparator" w:id="0">
    <w:p w14:paraId="68DEC975" w14:textId="77777777" w:rsidR="00F21085" w:rsidRDefault="00F21085" w:rsidP="005A639F">
      <w:r>
        <w:continuationSeparator/>
      </w:r>
    </w:p>
  </w:footnote>
  <w:footnote w:id="1">
    <w:p w14:paraId="5A0E0E3E" w14:textId="5BBE9D80" w:rsidR="00682963" w:rsidRPr="008945EB" w:rsidRDefault="00682963" w:rsidP="008945EB">
      <w:pPr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945EB">
        <w:rPr>
          <w:rStyle w:val="Appelnotedebasdep"/>
          <w:sz w:val="20"/>
          <w:szCs w:val="20"/>
        </w:rPr>
        <w:footnoteRef/>
      </w:r>
      <w:r w:rsidRPr="008945EB">
        <w:rPr>
          <w:sz w:val="20"/>
          <w:szCs w:val="20"/>
        </w:rPr>
        <w:t xml:space="preserve"> </w:t>
      </w:r>
      <w:proofErr w:type="spellStart"/>
      <w:r w:rsidRPr="008945EB">
        <w:rPr>
          <w:rFonts w:eastAsia="Times New Roman" w:cs="Times New Roman"/>
          <w:sz w:val="20"/>
          <w:szCs w:val="20"/>
          <w:shd w:val="clear" w:color="auto" w:fill="FFFFFF"/>
          <w:lang w:eastAsia="fr-FR"/>
        </w:rPr>
        <w:t>Revillard</w:t>
      </w:r>
      <w:proofErr w:type="spellEnd"/>
      <w:r w:rsidRPr="008945EB">
        <w:rPr>
          <w:rFonts w:eastAsia="Times New Roman" w:cs="Times New Roman"/>
          <w:sz w:val="20"/>
          <w:szCs w:val="20"/>
          <w:shd w:val="clear" w:color="auto" w:fill="FFFFFF"/>
          <w:lang w:eastAsia="fr-FR"/>
        </w:rPr>
        <w:t xml:space="preserve">, Anne. </w:t>
      </w:r>
      <w:r w:rsidRPr="00390D27">
        <w:rPr>
          <w:rFonts w:eastAsia="Times New Roman" w:cs="Times New Roman"/>
          <w:sz w:val="20"/>
          <w:szCs w:val="20"/>
          <w:shd w:val="clear" w:color="auto" w:fill="FFFFFF"/>
          <w:lang w:eastAsia="fr-FR"/>
        </w:rPr>
        <w:t>2016</w:t>
      </w:r>
      <w:r w:rsidRPr="008945EB">
        <w:rPr>
          <w:rFonts w:eastAsia="Times New Roman" w:cs="Times New Roman"/>
          <w:sz w:val="20"/>
          <w:szCs w:val="20"/>
          <w:shd w:val="clear" w:color="auto" w:fill="FFFFFF"/>
          <w:lang w:eastAsia="fr-FR"/>
        </w:rPr>
        <w:t>.</w:t>
      </w:r>
      <w:r w:rsidRPr="00390D27">
        <w:rPr>
          <w:rFonts w:eastAsia="Times New Roman" w:cs="Times New Roman"/>
          <w:sz w:val="20"/>
          <w:szCs w:val="20"/>
          <w:shd w:val="clear" w:color="auto" w:fill="FFFFFF"/>
          <w:lang w:eastAsia="fr-FR"/>
        </w:rPr>
        <w:t xml:space="preserve"> « </w:t>
      </w:r>
      <w:hyperlink r:id="rId1" w:history="1">
        <w:r w:rsidRPr="00390D27">
          <w:rPr>
            <w:rFonts w:eastAsia="Times New Roman" w:cs="Times New Roman"/>
            <w:sz w:val="20"/>
            <w:szCs w:val="20"/>
            <w:u w:val="single"/>
            <w:bdr w:val="none" w:sz="0" w:space="0" w:color="auto" w:frame="1"/>
            <w:lang w:eastAsia="fr-FR"/>
          </w:rPr>
          <w:t>La réception de l’action publique</w:t>
        </w:r>
      </w:hyperlink>
      <w:r w:rsidRPr="00390D27">
        <w:rPr>
          <w:rFonts w:eastAsia="Times New Roman" w:cs="Times New Roman"/>
          <w:sz w:val="20"/>
          <w:szCs w:val="20"/>
          <w:shd w:val="clear" w:color="auto" w:fill="FFFFFF"/>
          <w:lang w:eastAsia="fr-FR"/>
        </w:rPr>
        <w:t> », </w:t>
      </w:r>
      <w:r w:rsidRPr="00390D27">
        <w:rPr>
          <w:rFonts w:eastAsia="Times New Roman" w:cs="Times New Roman"/>
          <w:i/>
          <w:iCs/>
          <w:sz w:val="20"/>
          <w:szCs w:val="20"/>
          <w:bdr w:val="none" w:sz="0" w:space="0" w:color="auto" w:frame="1"/>
          <w:lang w:eastAsia="fr-FR"/>
        </w:rPr>
        <w:t xml:space="preserve">LIEPP </w:t>
      </w:r>
      <w:proofErr w:type="spellStart"/>
      <w:r w:rsidRPr="00390D27">
        <w:rPr>
          <w:rFonts w:eastAsia="Times New Roman" w:cs="Times New Roman"/>
          <w:i/>
          <w:iCs/>
          <w:sz w:val="20"/>
          <w:szCs w:val="20"/>
          <w:bdr w:val="none" w:sz="0" w:space="0" w:color="auto" w:frame="1"/>
          <w:lang w:eastAsia="fr-FR"/>
        </w:rPr>
        <w:t>Working</w:t>
      </w:r>
      <w:proofErr w:type="spellEnd"/>
      <w:r w:rsidRPr="00390D27">
        <w:rPr>
          <w:rFonts w:eastAsia="Times New Roman" w:cs="Times New Roman"/>
          <w:i/>
          <w:iCs/>
          <w:sz w:val="20"/>
          <w:szCs w:val="20"/>
          <w:bdr w:val="none" w:sz="0" w:space="0" w:color="auto" w:frame="1"/>
          <w:lang w:eastAsia="fr-FR"/>
        </w:rPr>
        <w:t xml:space="preserve"> Paper,</w:t>
      </w:r>
      <w:r w:rsidRPr="00390D27">
        <w:rPr>
          <w:rFonts w:eastAsia="Times New Roman" w:cs="Times New Roman"/>
          <w:sz w:val="20"/>
          <w:szCs w:val="20"/>
          <w:shd w:val="clear" w:color="auto" w:fill="FFFFFF"/>
          <w:lang w:eastAsia="fr-FR"/>
        </w:rPr>
        <w:t> n°55, Juillet.</w:t>
      </w:r>
    </w:p>
  </w:footnote>
  <w:footnote w:id="2">
    <w:p w14:paraId="79B4997C" w14:textId="1403AD08" w:rsidR="003A5C04" w:rsidRPr="008945EB" w:rsidRDefault="003A5C04" w:rsidP="008945EB">
      <w:pPr>
        <w:autoSpaceDE w:val="0"/>
        <w:autoSpaceDN w:val="0"/>
        <w:adjustRightInd w:val="0"/>
        <w:rPr>
          <w:rFonts w:cs="Times New Roman"/>
          <w:sz w:val="20"/>
          <w:szCs w:val="20"/>
        </w:rPr>
      </w:pPr>
      <w:r w:rsidRPr="008945EB">
        <w:rPr>
          <w:rStyle w:val="Appelnotedebasdep"/>
          <w:sz w:val="20"/>
          <w:szCs w:val="20"/>
        </w:rPr>
        <w:footnoteRef/>
      </w:r>
      <w:r w:rsidRPr="008945EB">
        <w:rPr>
          <w:sz w:val="20"/>
          <w:szCs w:val="20"/>
        </w:rPr>
        <w:t xml:space="preserve"> </w:t>
      </w:r>
      <w:r w:rsidRPr="008945EB">
        <w:rPr>
          <w:rFonts w:cs="Times New Roman"/>
          <w:sz w:val="20"/>
          <w:szCs w:val="20"/>
        </w:rPr>
        <w:t>Bresson, Maryse. 2018. « L’intervention à domicile dans le champ du handicap : déclin de</w:t>
      </w:r>
      <w:r w:rsidRPr="008945EB">
        <w:rPr>
          <w:rFonts w:cs="Times New Roman"/>
          <w:sz w:val="20"/>
          <w:szCs w:val="20"/>
        </w:rPr>
        <w:t xml:space="preserve"> </w:t>
      </w:r>
      <w:r w:rsidRPr="008945EB">
        <w:rPr>
          <w:rFonts w:cs="Times New Roman"/>
          <w:sz w:val="20"/>
          <w:szCs w:val="20"/>
        </w:rPr>
        <w:t xml:space="preserve">l’institution ou nouveaux arrangements institutionnels ? », dans Isabelle Puech et </w:t>
      </w:r>
      <w:proofErr w:type="spellStart"/>
      <w:r w:rsidRPr="008945EB">
        <w:rPr>
          <w:rFonts w:cs="Times New Roman"/>
          <w:sz w:val="20"/>
          <w:szCs w:val="20"/>
        </w:rPr>
        <w:t>Abdia</w:t>
      </w:r>
      <w:proofErr w:type="spellEnd"/>
      <w:r w:rsidRPr="008945EB">
        <w:rPr>
          <w:rFonts w:cs="Times New Roman"/>
          <w:sz w:val="20"/>
          <w:szCs w:val="20"/>
        </w:rPr>
        <w:t xml:space="preserve"> </w:t>
      </w:r>
      <w:proofErr w:type="spellStart"/>
      <w:r w:rsidRPr="008945EB">
        <w:rPr>
          <w:rFonts w:cs="Times New Roman"/>
          <w:sz w:val="20"/>
          <w:szCs w:val="20"/>
        </w:rPr>
        <w:t>Touahria</w:t>
      </w:r>
      <w:proofErr w:type="spellEnd"/>
      <w:r w:rsidRPr="008945EB">
        <w:rPr>
          <w:rFonts w:cs="Times New Roman"/>
          <w:sz w:val="20"/>
          <w:szCs w:val="20"/>
        </w:rPr>
        <w:t>-Gaillard (</w:t>
      </w:r>
      <w:proofErr w:type="spellStart"/>
      <w:r w:rsidRPr="008945EB">
        <w:rPr>
          <w:rFonts w:cs="Times New Roman"/>
          <w:sz w:val="20"/>
          <w:szCs w:val="20"/>
        </w:rPr>
        <w:t>dir</w:t>
      </w:r>
      <w:proofErr w:type="spellEnd"/>
      <w:r w:rsidRPr="008945EB">
        <w:rPr>
          <w:rFonts w:cs="Times New Roman"/>
          <w:sz w:val="20"/>
          <w:szCs w:val="20"/>
        </w:rPr>
        <w:t>.). L’accompagnement du handicap à domicile. Grenoble, Presses</w:t>
      </w:r>
      <w:r w:rsidRPr="008945EB">
        <w:rPr>
          <w:rFonts w:cs="Times New Roman"/>
          <w:sz w:val="20"/>
          <w:szCs w:val="20"/>
        </w:rPr>
        <w:t xml:space="preserve"> </w:t>
      </w:r>
      <w:r w:rsidRPr="008945EB">
        <w:rPr>
          <w:rFonts w:cs="Times New Roman"/>
          <w:sz w:val="20"/>
          <w:szCs w:val="20"/>
        </w:rPr>
        <w:t>universitaires de Grenoble.</w:t>
      </w:r>
    </w:p>
  </w:footnote>
  <w:footnote w:id="3">
    <w:p w14:paraId="5F7378C7" w14:textId="77777777" w:rsidR="008945EB" w:rsidRDefault="008945EB" w:rsidP="008945EB">
      <w:pPr>
        <w:ind w:left="567" w:hanging="567"/>
        <w:rPr>
          <w:i/>
          <w:iCs/>
          <w:sz w:val="20"/>
          <w:szCs w:val="20"/>
        </w:rPr>
      </w:pPr>
      <w:r w:rsidRPr="008945EB">
        <w:rPr>
          <w:rStyle w:val="Appelnotedebasdep"/>
          <w:sz w:val="20"/>
          <w:szCs w:val="20"/>
        </w:rPr>
        <w:footnoteRef/>
      </w:r>
      <w:r w:rsidRPr="008945EB">
        <w:rPr>
          <w:sz w:val="20"/>
          <w:szCs w:val="20"/>
        </w:rPr>
        <w:t xml:space="preserve"> </w:t>
      </w:r>
      <w:proofErr w:type="spellStart"/>
      <w:r w:rsidRPr="008945EB">
        <w:rPr>
          <w:sz w:val="20"/>
          <w:szCs w:val="20"/>
        </w:rPr>
        <w:t>Henckes</w:t>
      </w:r>
      <w:proofErr w:type="spellEnd"/>
      <w:r w:rsidRPr="008945EB">
        <w:rPr>
          <w:sz w:val="20"/>
          <w:szCs w:val="20"/>
        </w:rPr>
        <w:t xml:space="preserve">, Nicolas avec Marcos </w:t>
      </w:r>
      <w:proofErr w:type="spellStart"/>
      <w:r w:rsidRPr="008945EB">
        <w:rPr>
          <w:sz w:val="20"/>
          <w:szCs w:val="20"/>
        </w:rPr>
        <w:t>Azevedo</w:t>
      </w:r>
      <w:proofErr w:type="spellEnd"/>
      <w:r w:rsidRPr="008945EB">
        <w:rPr>
          <w:sz w:val="20"/>
          <w:szCs w:val="20"/>
        </w:rPr>
        <w:t xml:space="preserve"> et Anne Quintin. 2018. </w:t>
      </w:r>
      <w:r w:rsidRPr="008945EB">
        <w:rPr>
          <w:i/>
          <w:iCs/>
          <w:sz w:val="20"/>
          <w:szCs w:val="20"/>
        </w:rPr>
        <w:t>Loger et soigner, une</w:t>
      </w:r>
      <w:r>
        <w:rPr>
          <w:i/>
          <w:iCs/>
          <w:sz w:val="20"/>
          <w:szCs w:val="20"/>
        </w:rPr>
        <w:t xml:space="preserve"> </w:t>
      </w:r>
      <w:r w:rsidRPr="008945EB">
        <w:rPr>
          <w:i/>
          <w:iCs/>
          <w:sz w:val="20"/>
          <w:szCs w:val="20"/>
        </w:rPr>
        <w:t>sociologie d'un dispositif</w:t>
      </w:r>
    </w:p>
    <w:p w14:paraId="0BADA3B8" w14:textId="77777777" w:rsidR="008945EB" w:rsidRDefault="008945EB" w:rsidP="008945EB">
      <w:pPr>
        <w:ind w:left="567" w:hanging="567"/>
        <w:rPr>
          <w:sz w:val="20"/>
          <w:szCs w:val="20"/>
        </w:rPr>
      </w:pPr>
      <w:r w:rsidRPr="008945EB">
        <w:rPr>
          <w:i/>
          <w:iCs/>
          <w:sz w:val="20"/>
          <w:szCs w:val="20"/>
        </w:rPr>
        <w:t>médico-social: les appartements accompagnés en santé mentale</w:t>
      </w:r>
      <w:r w:rsidRPr="008945EB">
        <w:rPr>
          <w:sz w:val="20"/>
          <w:szCs w:val="20"/>
        </w:rPr>
        <w:t>.</w:t>
      </w:r>
      <w:r>
        <w:rPr>
          <w:i/>
          <w:iCs/>
          <w:sz w:val="20"/>
          <w:szCs w:val="20"/>
        </w:rPr>
        <w:t xml:space="preserve"> </w:t>
      </w:r>
      <w:r w:rsidRPr="008945EB">
        <w:rPr>
          <w:sz w:val="20"/>
          <w:szCs w:val="20"/>
        </w:rPr>
        <w:t>Rapport de recherche, Paris, Fondation de</w:t>
      </w:r>
    </w:p>
    <w:p w14:paraId="2F16C7DD" w14:textId="6D9F19CC" w:rsidR="008945EB" w:rsidRPr="008945EB" w:rsidRDefault="008945EB" w:rsidP="008945EB">
      <w:pPr>
        <w:ind w:left="567" w:hanging="567"/>
        <w:rPr>
          <w:sz w:val="20"/>
          <w:szCs w:val="20"/>
        </w:rPr>
      </w:pPr>
      <w:r w:rsidRPr="008945EB">
        <w:rPr>
          <w:sz w:val="20"/>
          <w:szCs w:val="20"/>
        </w:rPr>
        <w:t>France, Santé mentale France et CERMES3.</w:t>
      </w:r>
    </w:p>
    <w:p w14:paraId="64CF5CFE" w14:textId="17FE35F1" w:rsidR="008945EB" w:rsidRPr="008945EB" w:rsidRDefault="008945EB" w:rsidP="008945EB">
      <w:pPr>
        <w:pStyle w:val="Notedebasdepage"/>
      </w:pPr>
    </w:p>
  </w:footnote>
  <w:footnote w:id="4">
    <w:p w14:paraId="0065BB5A" w14:textId="6C5D4BCB" w:rsidR="00E93EC1" w:rsidRPr="00F30405" w:rsidRDefault="00E93EC1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proofErr w:type="spellStart"/>
      <w:r>
        <w:t>Azevedo</w:t>
      </w:r>
      <w:proofErr w:type="spellEnd"/>
      <w:r>
        <w:t xml:space="preserve">, Marcos. (à paraître). </w:t>
      </w:r>
      <w:r w:rsidR="00D43428">
        <w:t xml:space="preserve">« L’appropriation de l’habitat à l’épreuve de l’accompagnement en santé mentale : le cas des personnes vivant en logement accompagné en France », </w:t>
      </w:r>
      <w:r w:rsidR="00D43428">
        <w:rPr>
          <w:i/>
          <w:iCs/>
        </w:rPr>
        <w:t xml:space="preserve">Liens social et politiques, </w:t>
      </w:r>
      <w:r w:rsidR="00D43428">
        <w:t xml:space="preserve">n. 87, </w:t>
      </w:r>
      <w:r w:rsidR="00F30405">
        <w:t>Inégalités d’appropriation du logement et de l’habitat.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44D37" w14:textId="1D7B9ED0" w:rsidR="005A639F" w:rsidRPr="00135EB1" w:rsidRDefault="005A639F" w:rsidP="005A639F">
    <w:pPr>
      <w:pStyle w:val="En-tte"/>
      <w:jc w:val="right"/>
      <w:rPr>
        <w:b/>
        <w:bCs/>
        <w:sz w:val="20"/>
        <w:szCs w:val="20"/>
      </w:rPr>
    </w:pPr>
    <w:r w:rsidRPr="00135EB1">
      <w:rPr>
        <w:b/>
        <w:bCs/>
        <w:sz w:val="20"/>
        <w:szCs w:val="20"/>
      </w:rPr>
      <w:t xml:space="preserve">Proposition de </w:t>
    </w:r>
    <w:r>
      <w:rPr>
        <w:b/>
        <w:bCs/>
        <w:sz w:val="20"/>
        <w:szCs w:val="20"/>
      </w:rPr>
      <w:t>communication</w:t>
    </w:r>
    <w:r w:rsidRPr="00135EB1">
      <w:rPr>
        <w:b/>
        <w:bCs/>
        <w:sz w:val="20"/>
        <w:szCs w:val="20"/>
      </w:rPr>
      <w:t xml:space="preserve"> pour la Conférence ALTER 2022 </w:t>
    </w:r>
  </w:p>
  <w:p w14:paraId="4822E210" w14:textId="77777777" w:rsidR="005A639F" w:rsidRPr="00135EB1" w:rsidRDefault="005A639F" w:rsidP="005A639F">
    <w:pPr>
      <w:pStyle w:val="En-tte"/>
      <w:jc w:val="right"/>
      <w:rPr>
        <w:b/>
        <w:bCs/>
        <w:sz w:val="20"/>
        <w:szCs w:val="20"/>
      </w:rPr>
    </w:pPr>
    <w:r w:rsidRPr="00135EB1">
      <w:rPr>
        <w:b/>
        <w:bCs/>
        <w:sz w:val="20"/>
        <w:szCs w:val="20"/>
      </w:rPr>
      <w:t xml:space="preserve">Repenser l’institution et la désinstitutionalisation à partir du handicap </w:t>
    </w:r>
  </w:p>
  <w:p w14:paraId="2B420936" w14:textId="77777777" w:rsidR="005A639F" w:rsidRDefault="005A639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902048"/>
    <w:multiLevelType w:val="hybridMultilevel"/>
    <w:tmpl w:val="416AF502"/>
    <w:lvl w:ilvl="0" w:tplc="8174C95C">
      <w:start w:val="1"/>
      <w:numFmt w:val="bullet"/>
      <w:lvlText w:val="-"/>
      <w:lvlJc w:val="left"/>
      <w:pPr>
        <w:ind w:left="720" w:hanging="360"/>
      </w:pPr>
      <w:rPr>
        <w:rFonts w:ascii="Times" w:eastAsia="SimSun" w:hAnsi="Time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073"/>
    <w:rsid w:val="000054E9"/>
    <w:rsid w:val="000377F4"/>
    <w:rsid w:val="00050E96"/>
    <w:rsid w:val="00051973"/>
    <w:rsid w:val="00073CBB"/>
    <w:rsid w:val="00074ED6"/>
    <w:rsid w:val="000B41F3"/>
    <w:rsid w:val="000C3ACB"/>
    <w:rsid w:val="000C66F5"/>
    <w:rsid w:val="000D0AB8"/>
    <w:rsid w:val="000E16E9"/>
    <w:rsid w:val="00104B9F"/>
    <w:rsid w:val="00124F29"/>
    <w:rsid w:val="00162CE4"/>
    <w:rsid w:val="00170BA6"/>
    <w:rsid w:val="0017557B"/>
    <w:rsid w:val="0018544E"/>
    <w:rsid w:val="001D13D2"/>
    <w:rsid w:val="00217ED9"/>
    <w:rsid w:val="00235E07"/>
    <w:rsid w:val="002D2AB0"/>
    <w:rsid w:val="002D53A6"/>
    <w:rsid w:val="003166DC"/>
    <w:rsid w:val="003307E5"/>
    <w:rsid w:val="003542B7"/>
    <w:rsid w:val="0037182D"/>
    <w:rsid w:val="00375D65"/>
    <w:rsid w:val="00390D27"/>
    <w:rsid w:val="00392640"/>
    <w:rsid w:val="003A5C04"/>
    <w:rsid w:val="003E6734"/>
    <w:rsid w:val="00430D47"/>
    <w:rsid w:val="00436ACA"/>
    <w:rsid w:val="00444073"/>
    <w:rsid w:val="004669AE"/>
    <w:rsid w:val="004B0C5B"/>
    <w:rsid w:val="004C5CB6"/>
    <w:rsid w:val="004D0D38"/>
    <w:rsid w:val="004D7234"/>
    <w:rsid w:val="00522E53"/>
    <w:rsid w:val="00524877"/>
    <w:rsid w:val="005941B1"/>
    <w:rsid w:val="005A60CD"/>
    <w:rsid w:val="005A639F"/>
    <w:rsid w:val="00604142"/>
    <w:rsid w:val="00622DD4"/>
    <w:rsid w:val="00671B87"/>
    <w:rsid w:val="0067497B"/>
    <w:rsid w:val="00682963"/>
    <w:rsid w:val="0069503A"/>
    <w:rsid w:val="006B2241"/>
    <w:rsid w:val="006C2414"/>
    <w:rsid w:val="006F2274"/>
    <w:rsid w:val="006F5DCE"/>
    <w:rsid w:val="00743926"/>
    <w:rsid w:val="00751388"/>
    <w:rsid w:val="0077558B"/>
    <w:rsid w:val="00787891"/>
    <w:rsid w:val="00787938"/>
    <w:rsid w:val="007B087F"/>
    <w:rsid w:val="007B3A59"/>
    <w:rsid w:val="007B47FD"/>
    <w:rsid w:val="007C3DC8"/>
    <w:rsid w:val="007F1CAE"/>
    <w:rsid w:val="007F69F2"/>
    <w:rsid w:val="00812CCC"/>
    <w:rsid w:val="00814A45"/>
    <w:rsid w:val="008351FF"/>
    <w:rsid w:val="008629B1"/>
    <w:rsid w:val="0086745E"/>
    <w:rsid w:val="0088610B"/>
    <w:rsid w:val="008942B7"/>
    <w:rsid w:val="008945EB"/>
    <w:rsid w:val="008E5F4A"/>
    <w:rsid w:val="00996EA6"/>
    <w:rsid w:val="009A36FA"/>
    <w:rsid w:val="009C302C"/>
    <w:rsid w:val="009F52B2"/>
    <w:rsid w:val="00A02028"/>
    <w:rsid w:val="00A1005C"/>
    <w:rsid w:val="00A40F05"/>
    <w:rsid w:val="00A56BD2"/>
    <w:rsid w:val="00A6416B"/>
    <w:rsid w:val="00A77D52"/>
    <w:rsid w:val="00AF11F9"/>
    <w:rsid w:val="00AF3521"/>
    <w:rsid w:val="00B32BFB"/>
    <w:rsid w:val="00B72705"/>
    <w:rsid w:val="00B8306E"/>
    <w:rsid w:val="00B96854"/>
    <w:rsid w:val="00BE6B6E"/>
    <w:rsid w:val="00C22717"/>
    <w:rsid w:val="00C24C75"/>
    <w:rsid w:val="00C32FB6"/>
    <w:rsid w:val="00C4136D"/>
    <w:rsid w:val="00C51A72"/>
    <w:rsid w:val="00CB0313"/>
    <w:rsid w:val="00CB0BAE"/>
    <w:rsid w:val="00CB45C1"/>
    <w:rsid w:val="00CF12E7"/>
    <w:rsid w:val="00D355D2"/>
    <w:rsid w:val="00D41F91"/>
    <w:rsid w:val="00D43428"/>
    <w:rsid w:val="00D6580E"/>
    <w:rsid w:val="00DC2226"/>
    <w:rsid w:val="00DC46F9"/>
    <w:rsid w:val="00DC6DCF"/>
    <w:rsid w:val="00DE3670"/>
    <w:rsid w:val="00DF1B21"/>
    <w:rsid w:val="00E059E0"/>
    <w:rsid w:val="00E1038E"/>
    <w:rsid w:val="00E42228"/>
    <w:rsid w:val="00E507AF"/>
    <w:rsid w:val="00E93EC1"/>
    <w:rsid w:val="00EB3358"/>
    <w:rsid w:val="00EC545A"/>
    <w:rsid w:val="00F16C6B"/>
    <w:rsid w:val="00F21085"/>
    <w:rsid w:val="00F30405"/>
    <w:rsid w:val="00F36487"/>
    <w:rsid w:val="00F5416D"/>
    <w:rsid w:val="00F66786"/>
    <w:rsid w:val="00F80732"/>
    <w:rsid w:val="00F85916"/>
    <w:rsid w:val="00F85EB7"/>
    <w:rsid w:val="00FD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0D4DB1"/>
  <w15:chartTrackingRefBased/>
  <w15:docId w15:val="{9DD76A0D-0476-A640-8120-3B773D06D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CAE"/>
    <w:pPr>
      <w:jc w:val="both"/>
    </w:pPr>
    <w:rPr>
      <w:rFonts w:ascii="Times" w:hAnsi="Times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7F1CAE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7F69F2"/>
    <w:pPr>
      <w:keepNext/>
      <w:keepLines/>
      <w:spacing w:before="40"/>
      <w:outlineLvl w:val="1"/>
    </w:pPr>
    <w:rPr>
      <w:rFonts w:ascii="Georgia" w:eastAsiaTheme="majorEastAsia" w:hAnsi="Georgia" w:cstheme="majorBidi"/>
      <w:b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F1CAE"/>
    <w:rPr>
      <w:rFonts w:ascii="Times" w:eastAsiaTheme="majorEastAsia" w:hAnsi="Times" w:cstheme="majorBidi"/>
      <w:b/>
      <w:szCs w:val="32"/>
    </w:rPr>
  </w:style>
  <w:style w:type="paragraph" w:styleId="Notedebasdepage">
    <w:name w:val="footnote text"/>
    <w:basedOn w:val="Normal"/>
    <w:link w:val="NotedebasdepageCar"/>
    <w:autoRedefine/>
    <w:uiPriority w:val="99"/>
    <w:semiHidden/>
    <w:unhideWhenUsed/>
    <w:qFormat/>
    <w:rsid w:val="007F1CAE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F1CAE"/>
    <w:rPr>
      <w:rFonts w:ascii="Times" w:hAnsi="Times"/>
      <w:sz w:val="20"/>
      <w:szCs w:val="20"/>
    </w:rPr>
  </w:style>
  <w:style w:type="character" w:customStyle="1" w:styleId="Titre2Car">
    <w:name w:val="Titre 2 Car"/>
    <w:basedOn w:val="Policepardfaut"/>
    <w:link w:val="Titre2"/>
    <w:uiPriority w:val="9"/>
    <w:rsid w:val="007F69F2"/>
    <w:rPr>
      <w:rFonts w:ascii="Georgia" w:eastAsiaTheme="majorEastAsia" w:hAnsi="Georgia" w:cstheme="majorBidi"/>
      <w:b/>
      <w:szCs w:val="26"/>
    </w:rPr>
  </w:style>
  <w:style w:type="paragraph" w:styleId="En-tte">
    <w:name w:val="header"/>
    <w:basedOn w:val="Normal"/>
    <w:link w:val="En-tteCar"/>
    <w:uiPriority w:val="99"/>
    <w:unhideWhenUsed/>
    <w:rsid w:val="005A639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A639F"/>
    <w:rPr>
      <w:rFonts w:ascii="Times" w:hAnsi="Times"/>
    </w:rPr>
  </w:style>
  <w:style w:type="paragraph" w:styleId="Pieddepage">
    <w:name w:val="footer"/>
    <w:basedOn w:val="Normal"/>
    <w:link w:val="PieddepageCar"/>
    <w:uiPriority w:val="99"/>
    <w:unhideWhenUsed/>
    <w:rsid w:val="005A639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A639F"/>
    <w:rPr>
      <w:rFonts w:ascii="Times" w:hAnsi="Times"/>
    </w:rPr>
  </w:style>
  <w:style w:type="paragraph" w:customStyle="1" w:styleId="Standard">
    <w:name w:val="Standard"/>
    <w:rsid w:val="006C2414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lang w:eastAsia="zh-CN" w:bidi="hi-IN"/>
    </w:rPr>
  </w:style>
  <w:style w:type="character" w:styleId="Appelnotedebasdep">
    <w:name w:val="footnote reference"/>
    <w:basedOn w:val="Policepardfaut"/>
    <w:uiPriority w:val="99"/>
    <w:semiHidden/>
    <w:unhideWhenUsed/>
    <w:rsid w:val="006C2414"/>
    <w:rPr>
      <w:vertAlign w:val="superscript"/>
    </w:rPr>
  </w:style>
  <w:style w:type="paragraph" w:customStyle="1" w:styleId="Footnote">
    <w:name w:val="Footnote"/>
    <w:basedOn w:val="Standard"/>
    <w:rsid w:val="006C2414"/>
    <w:pPr>
      <w:suppressLineNumbers/>
      <w:ind w:left="283" w:hanging="283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AF352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390D27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390D27"/>
  </w:style>
  <w:style w:type="character" w:styleId="Accentuation">
    <w:name w:val="Emphasis"/>
    <w:basedOn w:val="Policepardfaut"/>
    <w:uiPriority w:val="20"/>
    <w:qFormat/>
    <w:rsid w:val="00390D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1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0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pire.sciencespo.fr/hdl:/2441/1hc22ma2se9r59o46c34uitbi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484</Words>
  <Characters>2872</Characters>
  <Application>Microsoft Office Word</Application>
  <DocSecurity>0</DocSecurity>
  <Lines>49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117</cp:revision>
  <dcterms:created xsi:type="dcterms:W3CDTF">2021-12-05T19:26:00Z</dcterms:created>
  <dcterms:modified xsi:type="dcterms:W3CDTF">2021-12-06T12:50:00Z</dcterms:modified>
  <cp:category/>
</cp:coreProperties>
</file>