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040" w:rsidRPr="003D51F5" w:rsidRDefault="00234040" w:rsidP="009E2517">
      <w:pPr>
        <w:jc w:val="both"/>
        <w:rPr>
          <w:b/>
          <w:color w:val="FF0000"/>
          <w:lang w:val="en-US"/>
        </w:rPr>
      </w:pPr>
      <w:r w:rsidRPr="003D51F5">
        <w:rPr>
          <w:b/>
          <w:color w:val="FF0000"/>
          <w:lang w:val="en-US"/>
        </w:rPr>
        <w:t>Draft</w:t>
      </w:r>
    </w:p>
    <w:p w:rsidR="005D6A67" w:rsidRDefault="00F62950" w:rsidP="009E2517">
      <w:pPr>
        <w:jc w:val="both"/>
        <w:rPr>
          <w:b/>
          <w:lang w:val="en-US"/>
        </w:rPr>
      </w:pPr>
      <w:r>
        <w:rPr>
          <w:b/>
          <w:lang w:val="en-US"/>
        </w:rPr>
        <w:t>Ina Dimitrova</w:t>
      </w:r>
    </w:p>
    <w:p w:rsidR="00E10004" w:rsidRDefault="008E3B42" w:rsidP="009E2517">
      <w:pPr>
        <w:jc w:val="both"/>
        <w:rPr>
          <w:b/>
          <w:lang w:val="en-US"/>
        </w:rPr>
      </w:pPr>
      <w:r>
        <w:rPr>
          <w:b/>
          <w:lang w:val="en-US"/>
        </w:rPr>
        <w:t>Change without change</w:t>
      </w:r>
      <w:r w:rsidR="00E10004">
        <w:rPr>
          <w:b/>
          <w:lang w:val="en-US"/>
        </w:rPr>
        <w:t xml:space="preserve">: Remaking mental health advocacy in Bulgaria </w:t>
      </w:r>
    </w:p>
    <w:p w:rsidR="004134BE" w:rsidRDefault="004134BE" w:rsidP="009E2517">
      <w:pPr>
        <w:jc w:val="both"/>
        <w:rPr>
          <w:b/>
          <w:lang w:val="en-US"/>
        </w:rPr>
      </w:pPr>
    </w:p>
    <w:p w:rsidR="009E2517" w:rsidRDefault="009E2517" w:rsidP="009E2517">
      <w:pPr>
        <w:jc w:val="both"/>
        <w:rPr>
          <w:b/>
          <w:lang w:val="en-US"/>
        </w:rPr>
      </w:pPr>
      <w:r w:rsidRPr="00D64182">
        <w:rPr>
          <w:b/>
          <w:lang w:val="en-US"/>
        </w:rPr>
        <w:t>Introduction</w:t>
      </w:r>
    </w:p>
    <w:p w:rsidR="00F62950" w:rsidRPr="00901CEE" w:rsidRDefault="00F62950" w:rsidP="009E2517">
      <w:pPr>
        <w:jc w:val="both"/>
        <w:rPr>
          <w:b/>
        </w:rPr>
      </w:pPr>
    </w:p>
    <w:p w:rsidR="00DF0B51" w:rsidRDefault="00784446" w:rsidP="00A8585D">
      <w:pPr>
        <w:jc w:val="both"/>
        <w:rPr>
          <w:rFonts w:cstheme="minorHAnsi"/>
          <w:lang w:val="en-US"/>
        </w:rPr>
      </w:pPr>
      <w:r>
        <w:rPr>
          <w:rFonts w:cstheme="minorHAnsi"/>
          <w:lang w:val="en-US"/>
        </w:rPr>
        <w:t>The challenges of p</w:t>
      </w:r>
      <w:r w:rsidR="00DF0B51" w:rsidRPr="00DF0B51">
        <w:rPr>
          <w:rFonts w:cstheme="minorHAnsi"/>
          <w:lang w:val="en-US"/>
        </w:rPr>
        <w:t>ost-social</w:t>
      </w:r>
      <w:r w:rsidR="00B7522B">
        <w:rPr>
          <w:rFonts w:cstheme="minorHAnsi"/>
          <w:lang w:val="en-US"/>
        </w:rPr>
        <w:t>ist transitions have</w:t>
      </w:r>
      <w:r w:rsidR="00DF0B51" w:rsidRPr="00DF0B51">
        <w:rPr>
          <w:rFonts w:cstheme="minorHAnsi"/>
          <w:lang w:val="en-US"/>
        </w:rPr>
        <w:t xml:space="preserve"> been on the scholarly agenda for a long time already. A topic of special</w:t>
      </w:r>
      <w:r w:rsidR="00DF0B51">
        <w:rPr>
          <w:rFonts w:cstheme="minorHAnsi"/>
          <w:lang w:val="en-US"/>
        </w:rPr>
        <w:t xml:space="preserve"> and long-standing</w:t>
      </w:r>
      <w:r w:rsidR="00DF0B51" w:rsidRPr="00DF0B51">
        <w:rPr>
          <w:rFonts w:cstheme="minorHAnsi"/>
          <w:lang w:val="en-US"/>
        </w:rPr>
        <w:t xml:space="preserve"> interest in this context </w:t>
      </w:r>
      <w:r w:rsidR="00DF0B51">
        <w:rPr>
          <w:rFonts w:cstheme="minorHAnsi"/>
          <w:lang w:val="en-US"/>
        </w:rPr>
        <w:t>is</w:t>
      </w:r>
      <w:r w:rsidR="00DF0B51" w:rsidRPr="00DF0B51">
        <w:rPr>
          <w:rFonts w:cstheme="minorHAnsi"/>
          <w:lang w:val="en-US"/>
        </w:rPr>
        <w:t xml:space="preserve"> the potential of the politics from below to move away from the socialist legacy towards a more participatory, self-organising, autonomous civil culture. This paper adds to this field of research by discussing in a historical perspective the peculiar profile of mental health activism and advocacy in Bulgaria. </w:t>
      </w:r>
    </w:p>
    <w:p w:rsidR="00DF0B51" w:rsidRDefault="00DF0B51" w:rsidP="009E2517">
      <w:pPr>
        <w:jc w:val="both"/>
        <w:rPr>
          <w:rFonts w:cstheme="minorHAnsi"/>
        </w:rPr>
      </w:pPr>
      <w:r w:rsidRPr="00DF0B51">
        <w:rPr>
          <w:rFonts w:cstheme="minorHAnsi"/>
          <w:lang w:val="en-US"/>
        </w:rPr>
        <w:t xml:space="preserve">The western mental health activist pattern is clearly marked by vigorous contentious politics, which went through different stages and mobilised diverse strategies that aimed at gaining recognition for the patients and their personal accounts of distress (Crossley 2006; Rashed 2016). At the heart of this activism is „the struggle to have one’s voice heard and the social representations of madness as deficit and disorder (with not much to say) are a fundamental obstacle to this” (Rashed 2016, 106). Thus restoring the audibility of the voices and affirming the significance of the experiential and collective knowledge of the psychiatric users and survivors is a key stake and a part of a larger transformation of disability politics, provoked by the emergence of new perspectives coming from disabled people themselves (Russo and Beresford 2015, 153). This </w:t>
      </w:r>
      <w:r>
        <w:rPr>
          <w:rFonts w:cstheme="minorHAnsi"/>
          <w:lang w:val="en-US"/>
        </w:rPr>
        <w:t xml:space="preserve">further </w:t>
      </w:r>
      <w:r w:rsidRPr="00DF0B51">
        <w:rPr>
          <w:rFonts w:cstheme="minorHAnsi"/>
          <w:lang w:val="en-US"/>
        </w:rPr>
        <w:t xml:space="preserve">developed into a broad initiative of service user involvement in mental health research, teaching, service design, delivery, and assessment. </w:t>
      </w:r>
    </w:p>
    <w:p w:rsidR="00631B5E" w:rsidRDefault="00DF0B51" w:rsidP="00CB197F">
      <w:pPr>
        <w:jc w:val="both"/>
        <w:rPr>
          <w:lang w:val="en-US"/>
        </w:rPr>
      </w:pPr>
      <w:r>
        <w:t>The post-socialist mental health field appears to be unable to incorporate similar grassroots challengе to the power and abuses of the psychiatric system. The place of the patient (a note on the terms used in the local context follows shortly) still remains within the traditional confines of strong stigma, paternalistic attitudes on the part of professionals, invisibility and inaudibility, low-qualit</w:t>
      </w:r>
      <w:r w:rsidR="00FC3336">
        <w:t>y care and services (Winkler et</w:t>
      </w:r>
      <w:r>
        <w:t xml:space="preserve"> al. 2017; Zaviršek and Videmšek 2009). The Bulgarian </w:t>
      </w:r>
      <w:r w:rsidR="00FC3336">
        <w:rPr>
          <w:lang w:val="en-US"/>
        </w:rPr>
        <w:t>mental health landscape</w:t>
      </w:r>
      <w:r>
        <w:t xml:space="preserve"> suffers from all these ills and there is even direct evidence of still continuing inhuman and degrading practices at psychiatric and social care establishments (Council of Europe 2020). What is surprising in this quite bleak situation is that patient or carers’ activism is largely missing and mobilisations from below are virtually non-existent in present-day Bulgaria. There are no actively working patient associations or movements, no tradition, and no instances of publishing first-person accounts</w:t>
      </w:r>
      <w:r w:rsidR="00631B5E">
        <w:rPr>
          <w:rStyle w:val="EndnoteReference"/>
        </w:rPr>
        <w:endnoteReference w:id="1"/>
      </w:r>
      <w:r w:rsidR="00631B5E">
        <w:t>, which traditionally have had a „vital role in their personal and collective journeys of emancipation from psychiatric judgment” (Russo 2016, 220). It was not until 2019 that the first first-person account of mental distress and of living in Bulgaria with a psychiatric diagnosis was published (but under a pseudonym) (Mau 2019).</w:t>
      </w:r>
    </w:p>
    <w:p w:rsidR="00631B5E" w:rsidRDefault="00631B5E" w:rsidP="00522CAB">
      <w:pPr>
        <w:jc w:val="both"/>
        <w:rPr>
          <w:rFonts w:cstheme="minorHAnsi"/>
          <w:lang w:val="en-US"/>
        </w:rPr>
      </w:pPr>
      <w:r w:rsidRPr="00693802">
        <w:rPr>
          <w:rFonts w:cstheme="minorHAnsi"/>
          <w:lang w:val="en-US"/>
        </w:rPr>
        <w:t xml:space="preserve">In this context, the aim of this article is to explore the specificities of the historical process that led to this non-participatory state - on the part of the patients - of mental health activism in Bulgaria. I argue that </w:t>
      </w:r>
      <w:r>
        <w:rPr>
          <w:rFonts w:cstheme="minorHAnsi"/>
          <w:lang w:val="en-US"/>
        </w:rPr>
        <w:t xml:space="preserve">the absence of patient activism is at least partially linked to the way in which mental health advocacy emerged and developed locally. It was appropriated from the very beginning by the mental health professionals and was </w:t>
      </w:r>
      <w:r w:rsidRPr="00693802">
        <w:rPr>
          <w:rFonts w:cstheme="minorHAnsi"/>
          <w:lang w:val="en-US"/>
        </w:rPr>
        <w:t>stra</w:t>
      </w:r>
      <w:r>
        <w:rPr>
          <w:rFonts w:cstheme="minorHAnsi"/>
          <w:lang w:val="en-US"/>
        </w:rPr>
        <w:t>tegically staged</w:t>
      </w:r>
      <w:r>
        <w:rPr>
          <w:rFonts w:cstheme="minorHAnsi"/>
        </w:rPr>
        <w:t xml:space="preserve"> </w:t>
      </w:r>
      <w:r>
        <w:rPr>
          <w:rFonts w:cstheme="minorHAnsi"/>
          <w:lang w:val="en-US"/>
        </w:rPr>
        <w:t xml:space="preserve">as a </w:t>
      </w:r>
      <w:r w:rsidRPr="00693802">
        <w:rPr>
          <w:rFonts w:cstheme="minorHAnsi"/>
          <w:lang w:val="en-US"/>
        </w:rPr>
        <w:t>benevolent gesture on the</w:t>
      </w:r>
      <w:r>
        <w:rPr>
          <w:rFonts w:cstheme="minorHAnsi"/>
          <w:lang w:val="en-US"/>
        </w:rPr>
        <w:t>ir</w:t>
      </w:r>
      <w:r w:rsidRPr="00693802">
        <w:rPr>
          <w:rFonts w:cstheme="minorHAnsi"/>
          <w:lang w:val="en-US"/>
        </w:rPr>
        <w:t xml:space="preserve"> </w:t>
      </w:r>
      <w:r>
        <w:rPr>
          <w:rFonts w:cstheme="minorHAnsi"/>
          <w:lang w:val="en-US"/>
        </w:rPr>
        <w:t>part</w:t>
      </w:r>
      <w:r w:rsidRPr="00693802">
        <w:rPr>
          <w:rFonts w:cstheme="minorHAnsi"/>
          <w:lang w:val="en-US"/>
        </w:rPr>
        <w:t xml:space="preserve"> </w:t>
      </w:r>
      <w:r>
        <w:rPr>
          <w:rFonts w:cstheme="minorHAnsi"/>
          <w:lang w:val="en-US"/>
        </w:rPr>
        <w:t xml:space="preserve">aiming </w:t>
      </w:r>
      <w:r w:rsidRPr="00693802">
        <w:rPr>
          <w:rFonts w:cstheme="minorHAnsi"/>
          <w:lang w:val="en-US"/>
        </w:rPr>
        <w:t>to give a voice to the patients and to speak on their behalf</w:t>
      </w:r>
      <w:r>
        <w:rPr>
          <w:rFonts w:cstheme="minorHAnsi"/>
          <w:lang w:val="en-US"/>
        </w:rPr>
        <w:t xml:space="preserve">. What is distinctive is that they </w:t>
      </w:r>
      <w:r>
        <w:t>framed it as naturally ensuing from a</w:t>
      </w:r>
      <w:r>
        <w:rPr>
          <w:lang w:val="en-US"/>
        </w:rPr>
        <w:t xml:space="preserve"> </w:t>
      </w:r>
      <w:r w:rsidRPr="004C190D">
        <w:rPr>
          <w:rStyle w:val="Emphasis"/>
          <w:i w:val="0"/>
          <w:color w:val="0E101A"/>
        </w:rPr>
        <w:t>shared</w:t>
      </w:r>
      <w:r w:rsidRPr="004C190D">
        <w:rPr>
          <w:i/>
          <w:lang w:val="en-US"/>
        </w:rPr>
        <w:t xml:space="preserve"> </w:t>
      </w:r>
      <w:r>
        <w:t xml:space="preserve">experience – both of patients and professionals – of </w:t>
      </w:r>
      <w:r>
        <w:lastRenderedPageBreak/>
        <w:t xml:space="preserve">stigmatisation, marginalisation, and lack of recognition </w:t>
      </w:r>
      <w:r>
        <w:rPr>
          <w:lang w:val="en-US"/>
        </w:rPr>
        <w:t>by</w:t>
      </w:r>
      <w:r>
        <w:t xml:space="preserve"> the state and the general public. Thus</w:t>
      </w:r>
      <w:r>
        <w:rPr>
          <w:lang w:val="en-US"/>
        </w:rPr>
        <w:t>,</w:t>
      </w:r>
      <w:r>
        <w:t xml:space="preserve"> the imagery of</w:t>
      </w:r>
      <w:r>
        <w:rPr>
          <w:lang w:val="en-US"/>
        </w:rPr>
        <w:t xml:space="preserve"> </w:t>
      </w:r>
      <w:r>
        <w:rPr>
          <w:rStyle w:val="Emphasis"/>
          <w:color w:val="0E101A"/>
        </w:rPr>
        <w:t>common interests</w:t>
      </w:r>
      <w:r>
        <w:rPr>
          <w:lang w:val="en-US"/>
        </w:rPr>
        <w:t xml:space="preserve"> </w:t>
      </w:r>
      <w:r>
        <w:t xml:space="preserve">was constructed – crucial tactics, which additionally affirmed the conviction that the mental health professionals are </w:t>
      </w:r>
      <w:r>
        <w:rPr>
          <w:lang w:val="en-US"/>
        </w:rPr>
        <w:t>trustworthy</w:t>
      </w:r>
      <w:r>
        <w:t xml:space="preserve"> spokespersons</w:t>
      </w:r>
      <w:r>
        <w:rPr>
          <w:lang w:val="en-US"/>
        </w:rPr>
        <w:t>.</w:t>
      </w:r>
      <w:r>
        <w:rPr>
          <w:rFonts w:cstheme="minorHAnsi"/>
          <w:lang w:val="en-US"/>
        </w:rPr>
        <w:t xml:space="preserve"> </w:t>
      </w:r>
    </w:p>
    <w:p w:rsidR="00631B5E" w:rsidRDefault="00631B5E" w:rsidP="00B9448E">
      <w:pPr>
        <w:jc w:val="both"/>
        <w:rPr>
          <w:rFonts w:cstheme="minorHAnsi"/>
          <w:lang w:val="en-US"/>
        </w:rPr>
      </w:pPr>
      <w:r>
        <w:rPr>
          <w:rFonts w:cstheme="minorHAnsi"/>
          <w:lang w:val="en-US"/>
        </w:rPr>
        <w:t>This framing of the relation between professionals and patients first appeared during the last decade of state socialism and was additionally cemented thanks to the broader political transformations after its demise. T</w:t>
      </w:r>
      <w:r w:rsidRPr="004022AE">
        <w:rPr>
          <w:rFonts w:cstheme="minorHAnsi"/>
          <w:lang w:val="en-US"/>
        </w:rPr>
        <w:t xml:space="preserve">he new liberal and democratic rhetoric, which came in vogue </w:t>
      </w:r>
      <w:r>
        <w:rPr>
          <w:rFonts w:cstheme="minorHAnsi"/>
          <w:lang w:val="en-US"/>
        </w:rPr>
        <w:t>after</w:t>
      </w:r>
      <w:r w:rsidRPr="004022AE">
        <w:rPr>
          <w:rFonts w:cstheme="minorHAnsi"/>
          <w:lang w:val="en-US"/>
        </w:rPr>
        <w:t xml:space="preserve"> 1989</w:t>
      </w:r>
      <w:r>
        <w:rPr>
          <w:rFonts w:cstheme="minorHAnsi"/>
          <w:lang w:val="en-US"/>
        </w:rPr>
        <w:t>,</w:t>
      </w:r>
      <w:r w:rsidRPr="004022AE">
        <w:rPr>
          <w:rFonts w:cstheme="minorHAnsi"/>
          <w:lang w:val="en-US"/>
        </w:rPr>
        <w:t xml:space="preserve"> and stressed rights, informed consent, </w:t>
      </w:r>
      <w:r>
        <w:rPr>
          <w:rFonts w:cstheme="minorHAnsi"/>
          <w:lang w:val="en-US"/>
        </w:rPr>
        <w:t xml:space="preserve">and </w:t>
      </w:r>
      <w:r w:rsidRPr="004022AE">
        <w:rPr>
          <w:rFonts w:cstheme="minorHAnsi"/>
          <w:lang w:val="en-US"/>
        </w:rPr>
        <w:t>empowerment</w:t>
      </w:r>
      <w:r>
        <w:rPr>
          <w:rFonts w:cstheme="minorHAnsi"/>
          <w:lang w:val="en-US"/>
        </w:rPr>
        <w:t xml:space="preserve"> created the appearance that mental health advocacy is undergoing progressive changes. In the same time, however, its core logic remained intact. Thus, this toxic model of benevolent spokespersonship traveled</w:t>
      </w:r>
      <w:r w:rsidRPr="004022AE">
        <w:rPr>
          <w:rFonts w:cstheme="minorHAnsi"/>
          <w:lang w:val="en-US"/>
        </w:rPr>
        <w:t xml:space="preserve"> unquestioned across the different political constellations.</w:t>
      </w:r>
      <w:r>
        <w:rPr>
          <w:rFonts w:cstheme="minorHAnsi"/>
          <w:lang w:val="en-US"/>
        </w:rPr>
        <w:t xml:space="preserve"> </w:t>
      </w:r>
    </w:p>
    <w:p w:rsidR="00631B5E" w:rsidRPr="00401781" w:rsidRDefault="00631B5E" w:rsidP="00553FBD">
      <w:pPr>
        <w:jc w:val="both"/>
        <w:rPr>
          <w:lang w:val="en-US"/>
        </w:rPr>
      </w:pPr>
      <w:r>
        <w:rPr>
          <w:lang w:val="en-US"/>
        </w:rPr>
        <w:t>Its toxicity is due</w:t>
      </w:r>
      <w:r>
        <w:t xml:space="preserve"> </w:t>
      </w:r>
      <w:r>
        <w:rPr>
          <w:lang w:val="en-US"/>
        </w:rPr>
        <w:t xml:space="preserve">to the </w:t>
      </w:r>
      <w:r>
        <w:t xml:space="preserve">problematic </w:t>
      </w:r>
      <w:r>
        <w:rPr>
          <w:lang w:val="en-US"/>
        </w:rPr>
        <w:t>nature of speaking for others, which is a deeply ambivalent gesture (Alcoff 1991). G</w:t>
      </w:r>
      <w:r>
        <w:t>iving someone a voice may first, reduce to silence her or his own voice, and second, may affirm the impression that the silenced</w:t>
      </w:r>
      <w:r>
        <w:rPr>
          <w:lang w:val="en-US"/>
        </w:rPr>
        <w:t xml:space="preserve"> </w:t>
      </w:r>
      <w:r>
        <w:rPr>
          <w:rStyle w:val="Emphasis"/>
          <w:i w:val="0"/>
          <w:color w:val="0E101A"/>
        </w:rPr>
        <w:t>have received due</w:t>
      </w:r>
      <w:r w:rsidRPr="003F6B67">
        <w:rPr>
          <w:rStyle w:val="Emphasis"/>
          <w:i w:val="0"/>
          <w:color w:val="0E101A"/>
        </w:rPr>
        <w:t xml:space="preserve"> representation and recognition when </w:t>
      </w:r>
      <w:r>
        <w:rPr>
          <w:rStyle w:val="Emphasis"/>
          <w:i w:val="0"/>
          <w:color w:val="0E101A"/>
          <w:lang w:val="en-US"/>
        </w:rPr>
        <w:t>actually this</w:t>
      </w:r>
      <w:r w:rsidRPr="003F6B67">
        <w:rPr>
          <w:rStyle w:val="Emphasis"/>
          <w:i w:val="0"/>
          <w:color w:val="0E101A"/>
        </w:rPr>
        <w:t xml:space="preserve"> is not the case</w:t>
      </w:r>
      <w:r>
        <w:t xml:space="preserve">. This is much more likely to happen when the spoken for are traditionally conceived as lacking (rational) voice, which directly disqualifies them socially (Rashed </w:t>
      </w:r>
      <w:r>
        <w:rPr>
          <w:lang w:val="en-US"/>
        </w:rPr>
        <w:t xml:space="preserve">2016, </w:t>
      </w:r>
      <w:r>
        <w:t>106)</w:t>
      </w:r>
      <w:r>
        <w:rPr>
          <w:lang w:val="en-US"/>
        </w:rPr>
        <w:t xml:space="preserve">. </w:t>
      </w:r>
      <w:r w:rsidRPr="00725C09">
        <w:rPr>
          <w:rFonts w:cstheme="minorHAnsi"/>
          <w:lang w:val="en-US"/>
        </w:rPr>
        <w:t xml:space="preserve">Certainly, the historical development of the power relations in the </w:t>
      </w:r>
      <w:r>
        <w:rPr>
          <w:rFonts w:cstheme="minorHAnsi"/>
          <w:lang w:val="en-US"/>
        </w:rPr>
        <w:t xml:space="preserve">mental health </w:t>
      </w:r>
      <w:r w:rsidRPr="00725C09">
        <w:rPr>
          <w:rFonts w:cstheme="minorHAnsi"/>
          <w:lang w:val="en-US"/>
        </w:rPr>
        <w:t xml:space="preserve">field in the Western context is not unambiguous. Crucial </w:t>
      </w:r>
      <w:r>
        <w:rPr>
          <w:rFonts w:cstheme="minorHAnsi"/>
          <w:lang w:val="en-US"/>
        </w:rPr>
        <w:t xml:space="preserve">is the </w:t>
      </w:r>
      <w:r w:rsidRPr="00725C09">
        <w:rPr>
          <w:rFonts w:cstheme="minorHAnsi"/>
          <w:lang w:val="en-US"/>
        </w:rPr>
        <w:t xml:space="preserve">issue of co-optation – the appropriation and substitution of voices and values by the dominant groups (Penney and Prescott </w:t>
      </w:r>
      <w:r>
        <w:rPr>
          <w:rFonts w:cstheme="minorHAnsi"/>
          <w:lang w:val="en-US"/>
        </w:rPr>
        <w:t xml:space="preserve">2016, </w:t>
      </w:r>
      <w:r w:rsidRPr="00725C09">
        <w:rPr>
          <w:rFonts w:cstheme="minorHAnsi"/>
          <w:lang w:val="en-US"/>
        </w:rPr>
        <w:t>35).</w:t>
      </w:r>
      <w:r w:rsidRPr="00725C09">
        <w:rPr>
          <w:rFonts w:cstheme="minorHAnsi"/>
        </w:rPr>
        <w:t xml:space="preserve"> </w:t>
      </w:r>
      <w:r>
        <w:rPr>
          <w:rFonts w:cstheme="minorHAnsi"/>
          <w:lang w:val="en-US"/>
        </w:rPr>
        <w:t xml:space="preserve">As a result </w:t>
      </w:r>
      <w:r>
        <w:rPr>
          <w:rFonts w:eastAsia="Times New Roman" w:cstheme="minorHAnsi"/>
          <w:color w:val="070707"/>
          <w:lang w:val="en-US" w:eastAsia="bg-BG"/>
        </w:rPr>
        <w:t>t</w:t>
      </w:r>
      <w:r w:rsidRPr="00725C09">
        <w:rPr>
          <w:rFonts w:eastAsia="Times New Roman" w:cstheme="minorHAnsi"/>
          <w:color w:val="070707"/>
          <w:lang w:val="en-US" w:eastAsia="bg-BG"/>
        </w:rPr>
        <w:t xml:space="preserve">he </w:t>
      </w:r>
      <w:r w:rsidRPr="00725C09">
        <w:rPr>
          <w:rFonts w:eastAsia="Times New Roman" w:cstheme="minorHAnsi"/>
          <w:color w:val="070707"/>
          <w:lang w:eastAsia="bg-BG"/>
        </w:rPr>
        <w:t>„</w:t>
      </w:r>
      <w:r w:rsidRPr="00725C09">
        <w:rPr>
          <w:rFonts w:eastAsia="Times New Roman" w:cstheme="minorHAnsi"/>
          <w:color w:val="070707"/>
          <w:lang w:val="en-US" w:eastAsia="bg-BG"/>
        </w:rPr>
        <w:t>e</w:t>
      </w:r>
      <w:r w:rsidRPr="00725C09">
        <w:rPr>
          <w:rFonts w:cstheme="minorHAnsi"/>
          <w:color w:val="070707"/>
        </w:rPr>
        <w:t>mpowerment rapidly freed itself from the passions grounded in experience that imbued it at the start and became another tool in the toolbox of well-meaning caring professionals... They became professional 'empowerers'…</w:t>
      </w:r>
      <w:r w:rsidRPr="00725C09">
        <w:rPr>
          <w:rFonts w:cstheme="minorHAnsi"/>
          <w:color w:val="070707"/>
          <w:lang w:val="en-US"/>
        </w:rPr>
        <w:t xml:space="preserve"> [and]</w:t>
      </w:r>
      <w:r w:rsidRPr="00725C09">
        <w:rPr>
          <w:rFonts w:cstheme="minorHAnsi"/>
          <w:color w:val="070707"/>
        </w:rPr>
        <w:t xml:space="preserve"> now became a part of their</w:t>
      </w:r>
      <w:r w:rsidRPr="00426F7D">
        <w:rPr>
          <w:rFonts w:cstheme="minorHAnsi"/>
          <w:color w:val="070707"/>
        </w:rPr>
        <w:t xml:space="preserve"> role to 'empower' those who were their client</w:t>
      </w:r>
      <w:r>
        <w:rPr>
          <w:rFonts w:cstheme="minorHAnsi"/>
          <w:color w:val="070707"/>
          <w:lang w:val="en-US"/>
        </w:rPr>
        <w:t>s (Rose 2019, 161)</w:t>
      </w:r>
      <w:r>
        <w:rPr>
          <w:rFonts w:cstheme="minorHAnsi"/>
          <w:color w:val="070707"/>
        </w:rPr>
        <w:t xml:space="preserve">. </w:t>
      </w:r>
      <w:r w:rsidRPr="00B4324B">
        <w:rPr>
          <w:rFonts w:cstheme="minorHAnsi"/>
          <w:lang w:val="en-US"/>
        </w:rPr>
        <w:t>As Nikolas Rose</w:t>
      </w:r>
      <w:r>
        <w:rPr>
          <w:rFonts w:cstheme="minorHAnsi"/>
          <w:lang w:val="en-US"/>
        </w:rPr>
        <w:t xml:space="preserve"> (2019, 160)</w:t>
      </w:r>
      <w:r w:rsidRPr="00B4324B">
        <w:rPr>
          <w:rFonts w:cstheme="minorHAnsi"/>
          <w:lang w:val="en-US"/>
        </w:rPr>
        <w:t xml:space="preserve"> writes “</w:t>
      </w:r>
      <w:r w:rsidRPr="00B4324B">
        <w:rPr>
          <w:rFonts w:eastAsia="Times New Roman" w:cstheme="minorHAnsi"/>
          <w:color w:val="070707"/>
          <w:lang w:eastAsia="bg-BG"/>
        </w:rPr>
        <w:t>Advocacy</w:t>
      </w:r>
      <w:r>
        <w:rPr>
          <w:rFonts w:eastAsia="Times New Roman" w:cstheme="minorHAnsi"/>
          <w:color w:val="070707"/>
          <w:lang w:eastAsia="bg-BG"/>
        </w:rPr>
        <w:t xml:space="preserve"> …</w:t>
      </w:r>
      <w:r w:rsidRPr="00B4324B">
        <w:rPr>
          <w:rFonts w:eastAsia="Times New Roman" w:cstheme="minorHAnsi"/>
          <w:color w:val="070707"/>
          <w:lang w:eastAsia="bg-BG"/>
        </w:rPr>
        <w:t xml:space="preserve"> was one of the initial means by which excluded or demeaned groups sought to make their own voices heard: psychiatric services users would advocate </w:t>
      </w:r>
      <w:r w:rsidRPr="00B4324B">
        <w:rPr>
          <w:rFonts w:eastAsia="Times New Roman" w:cstheme="minorHAnsi"/>
          <w:i/>
          <w:iCs/>
          <w:color w:val="070707"/>
          <w:lang w:eastAsia="bg-BG"/>
        </w:rPr>
        <w:t xml:space="preserve">by themselves </w:t>
      </w:r>
      <w:r w:rsidRPr="00B4324B">
        <w:rPr>
          <w:rFonts w:eastAsia="Times New Roman" w:cstheme="minorHAnsi"/>
          <w:color w:val="070707"/>
          <w:lang w:eastAsia="bg-BG"/>
        </w:rPr>
        <w:t xml:space="preserve">and </w:t>
      </w:r>
      <w:r w:rsidRPr="00B4324B">
        <w:rPr>
          <w:rFonts w:eastAsia="Times New Roman" w:cstheme="minorHAnsi"/>
          <w:i/>
          <w:iCs/>
          <w:color w:val="070707"/>
          <w:lang w:eastAsia="bg-BG"/>
        </w:rPr>
        <w:t>for themselves.</w:t>
      </w:r>
      <w:r w:rsidRPr="00B4324B">
        <w:rPr>
          <w:rFonts w:eastAsia="Times New Roman" w:cstheme="minorHAnsi"/>
          <w:i/>
          <w:iCs/>
          <w:color w:val="070707"/>
          <w:lang w:val="en-US" w:eastAsia="bg-BG"/>
        </w:rPr>
        <w:t xml:space="preserve"> </w:t>
      </w:r>
      <w:r w:rsidRPr="00B4324B">
        <w:rPr>
          <w:rFonts w:eastAsia="Times New Roman" w:cstheme="minorHAnsi"/>
          <w:iCs/>
          <w:color w:val="070707"/>
          <w:lang w:val="en-US" w:eastAsia="bg-BG"/>
        </w:rPr>
        <w:t xml:space="preserve">However, within a decade </w:t>
      </w:r>
      <w:r w:rsidRPr="00B4324B">
        <w:rPr>
          <w:rFonts w:eastAsia="Times New Roman" w:cstheme="minorHAnsi"/>
          <w:color w:val="070707"/>
          <w:lang w:eastAsia="bg-BG"/>
        </w:rPr>
        <w:t>mental health professionals and policymakers began to see advocacy as a mechanism for engaging hard-to-reach patients in their own care, and managing grievances”</w:t>
      </w:r>
      <w:r>
        <w:rPr>
          <w:rFonts w:eastAsia="Times New Roman" w:cstheme="minorHAnsi"/>
          <w:color w:val="070707"/>
          <w:lang w:val="en-US" w:eastAsia="bg-BG"/>
        </w:rPr>
        <w:t>.</w:t>
      </w:r>
      <w:r>
        <w:rPr>
          <w:rFonts w:eastAsia="Times New Roman" w:cstheme="minorHAnsi"/>
          <w:color w:val="070707"/>
          <w:lang w:eastAsia="bg-BG"/>
        </w:rPr>
        <w:t xml:space="preserve"> </w:t>
      </w:r>
    </w:p>
    <w:p w:rsidR="00631B5E" w:rsidRPr="00401781" w:rsidRDefault="00631B5E" w:rsidP="00553FBD">
      <w:pPr>
        <w:jc w:val="both"/>
        <w:rPr>
          <w:lang w:val="en-US"/>
        </w:rPr>
      </w:pPr>
      <w:r>
        <w:rPr>
          <w:rFonts w:eastAsia="Times New Roman" w:cstheme="minorHAnsi"/>
          <w:color w:val="070707"/>
          <w:lang w:val="en-US" w:eastAsia="bg-BG"/>
        </w:rPr>
        <w:t>The local situation, however, totally skipped the self-advocacy phase on the part of the patients</w:t>
      </w:r>
      <w:r>
        <w:rPr>
          <w:rFonts w:eastAsia="Times New Roman" w:cstheme="minorHAnsi"/>
          <w:color w:val="070707"/>
          <w:lang w:eastAsia="bg-BG"/>
        </w:rPr>
        <w:t>,</w:t>
      </w:r>
      <w:r>
        <w:rPr>
          <w:rFonts w:eastAsia="Times New Roman" w:cstheme="minorHAnsi"/>
          <w:color w:val="070707"/>
          <w:lang w:val="en-US" w:eastAsia="bg-BG"/>
        </w:rPr>
        <w:t xml:space="preserve"> and </w:t>
      </w:r>
      <w:r>
        <w:rPr>
          <w:rFonts w:cstheme="minorHAnsi"/>
          <w:lang w:val="en-US"/>
        </w:rPr>
        <w:t>directly adopted a spokespersons’ type of advocacy led by professionals</w:t>
      </w:r>
      <w:r>
        <w:rPr>
          <w:rFonts w:eastAsia="Times New Roman" w:cstheme="minorHAnsi"/>
          <w:iCs/>
          <w:color w:val="070707"/>
          <w:lang w:val="en-US" w:eastAsia="bg-BG"/>
        </w:rPr>
        <w:t>, which was additionally affirmed by the cultural resonance (Williams 1995)</w:t>
      </w:r>
      <w:r>
        <w:rPr>
          <w:rFonts w:eastAsia="Times New Roman" w:cstheme="minorHAnsi"/>
          <w:iCs/>
          <w:color w:val="070707"/>
          <w:lang w:eastAsia="bg-BG"/>
        </w:rPr>
        <w:t>,</w:t>
      </w:r>
      <w:r>
        <w:rPr>
          <w:rFonts w:eastAsia="Times New Roman" w:cstheme="minorHAnsi"/>
          <w:iCs/>
          <w:color w:val="070707"/>
          <w:lang w:val="en-US" w:eastAsia="bg-BG"/>
        </w:rPr>
        <w:t xml:space="preserve"> which it enjoyed during the transition. Thus we observe a curious historical continuity in professionals’ colonizing not exactly the voices of patients – since these voices were never audible – but the very subject position from which public speaking and claims-making is possible.</w:t>
      </w:r>
    </w:p>
    <w:p w:rsidR="00631B5E" w:rsidRDefault="00631B5E" w:rsidP="009E2517">
      <w:pPr>
        <w:jc w:val="both"/>
        <w:rPr>
          <w:lang w:val="en-US"/>
        </w:rPr>
      </w:pPr>
      <w:r>
        <w:t xml:space="preserve">In </w:t>
      </w:r>
      <w:r>
        <w:rPr>
          <w:lang w:val="en-US"/>
        </w:rPr>
        <w:t>its</w:t>
      </w:r>
      <w:r>
        <w:t xml:space="preserve"> first section, the paper briefly introduces the theoretical background, the data and method used. The three sections </w:t>
      </w:r>
      <w:r>
        <w:rPr>
          <w:lang w:val="en-US"/>
        </w:rPr>
        <w:t xml:space="preserve">that follow </w:t>
      </w:r>
      <w:r>
        <w:t>are focused, respectively, on the specificities of three important instances</w:t>
      </w:r>
      <w:r>
        <w:rPr>
          <w:lang w:val="en-US"/>
        </w:rPr>
        <w:t xml:space="preserve"> of advocacy on the part of mental health professionals</w:t>
      </w:r>
      <w:r>
        <w:t xml:space="preserve"> – the late socialist, the early transitional and the current one, which is dominated by actors, professionally engaged in social work and advocacy.</w:t>
      </w:r>
      <w:r>
        <w:rPr>
          <w:lang w:val="en-US"/>
        </w:rPr>
        <w:t xml:space="preserve"> The concluding part considers the broader implications of this legacy for the local disability landscape and the possibilities of reimagining mental health activism.</w:t>
      </w:r>
    </w:p>
    <w:p w:rsidR="00631B5E" w:rsidRDefault="00631B5E" w:rsidP="009A7C7D">
      <w:pPr>
        <w:tabs>
          <w:tab w:val="left" w:pos="1116"/>
        </w:tabs>
        <w:jc w:val="both"/>
        <w:rPr>
          <w:rFonts w:cstheme="minorHAnsi"/>
          <w:lang w:val="en-US"/>
        </w:rPr>
      </w:pPr>
    </w:p>
    <w:p w:rsidR="00631B5E" w:rsidRPr="00F62950" w:rsidRDefault="00631B5E" w:rsidP="009E2517">
      <w:pPr>
        <w:jc w:val="both"/>
        <w:rPr>
          <w:rFonts w:cstheme="minorHAnsi"/>
          <w:b/>
          <w:color w:val="000000"/>
          <w:lang w:val="en-US"/>
        </w:rPr>
      </w:pPr>
      <w:r>
        <w:rPr>
          <w:rFonts w:cstheme="minorHAnsi"/>
          <w:b/>
          <w:color w:val="000000"/>
          <w:lang w:val="en-US"/>
        </w:rPr>
        <w:t>Theoretical background, method and data</w:t>
      </w:r>
    </w:p>
    <w:p w:rsidR="00631B5E" w:rsidRPr="0054442E" w:rsidRDefault="00631B5E" w:rsidP="00731918">
      <w:pPr>
        <w:jc w:val="both"/>
        <w:rPr>
          <w:rFonts w:cstheme="minorHAnsi"/>
          <w:color w:val="000000"/>
          <w:lang w:val="en-US"/>
        </w:rPr>
      </w:pPr>
      <w:r>
        <w:t xml:space="preserve">I </w:t>
      </w:r>
      <w:r>
        <w:rPr>
          <w:lang w:val="en-US"/>
        </w:rPr>
        <w:t>mobilise</w:t>
      </w:r>
      <w:r>
        <w:t xml:space="preserve"> the notion of spokespersonship to explore the sketched above pervasive relation, which haunts the Bulgarian mental health collective claims-making practices. Spokespersonship is </w:t>
      </w:r>
      <w:r>
        <w:rPr>
          <w:lang w:val="en-US"/>
        </w:rPr>
        <w:t xml:space="preserve">an </w:t>
      </w:r>
      <w:r>
        <w:t>act of</w:t>
      </w:r>
      <w:r>
        <w:rPr>
          <w:lang w:val="en-US"/>
        </w:rPr>
        <w:t xml:space="preserve"> </w:t>
      </w:r>
      <w:r w:rsidRPr="00145FB1">
        <w:rPr>
          <w:rStyle w:val="Emphasis"/>
          <w:i w:val="0"/>
          <w:color w:val="0E101A"/>
        </w:rPr>
        <w:t>speaking for others and giving them a voice</w:t>
      </w:r>
      <w:r w:rsidRPr="00145FB1">
        <w:rPr>
          <w:rStyle w:val="Emphasis"/>
          <w:i w:val="0"/>
          <w:color w:val="0E101A"/>
          <w:lang w:val="en-US"/>
        </w:rPr>
        <w:t xml:space="preserve"> that is</w:t>
      </w:r>
      <w:r>
        <w:rPr>
          <w:rStyle w:val="Emphasis"/>
          <w:color w:val="0E101A"/>
          <w:lang w:val="en-US"/>
        </w:rPr>
        <w:t xml:space="preserve"> </w:t>
      </w:r>
      <w:r>
        <w:t>crucial for the political representation and recognition</w:t>
      </w:r>
      <w:r>
        <w:rPr>
          <w:rStyle w:val="Emphasis"/>
          <w:color w:val="0E101A"/>
        </w:rPr>
        <w:t>.</w:t>
      </w:r>
      <w:r>
        <w:rPr>
          <w:rStyle w:val="Emphasis"/>
          <w:color w:val="0E101A"/>
          <w:lang w:val="en-US"/>
        </w:rPr>
        <w:t xml:space="preserve"> </w:t>
      </w:r>
      <w:r>
        <w:t xml:space="preserve">The </w:t>
      </w:r>
      <w:r>
        <w:rPr>
          <w:lang w:val="en-US"/>
        </w:rPr>
        <w:t>mechanisms</w:t>
      </w:r>
      <w:r>
        <w:t xml:space="preserve"> </w:t>
      </w:r>
      <w:r>
        <w:rPr>
          <w:lang w:val="en-US"/>
        </w:rPr>
        <w:t>of</w:t>
      </w:r>
      <w:r>
        <w:t xml:space="preserve"> political representation - as a process </w:t>
      </w:r>
      <w:r>
        <w:rPr>
          <w:lang w:val="en-US"/>
        </w:rPr>
        <w:t xml:space="preserve">and vehicle </w:t>
      </w:r>
      <w:r>
        <w:t xml:space="preserve">of articulation of </w:t>
      </w:r>
      <w:r>
        <w:lastRenderedPageBreak/>
        <w:t xml:space="preserve">citizens’ demands and preferences, and of expressing their true interests – </w:t>
      </w:r>
      <w:r>
        <w:rPr>
          <w:lang w:val="en-US"/>
        </w:rPr>
        <w:t>are</w:t>
      </w:r>
      <w:r>
        <w:t xml:space="preserve"> a cornerstone of much of the currently widely accepted notions of well-functioning civil societies.</w:t>
      </w:r>
    </w:p>
    <w:p w:rsidR="00631B5E" w:rsidRDefault="00631B5E" w:rsidP="00423969">
      <w:pPr>
        <w:jc w:val="both"/>
        <w:rPr>
          <w:rFonts w:ascii="Calibri" w:eastAsia="Arial Unicode MS" w:hAnsi="Calibri" w:cstheme="minorHAnsi"/>
          <w:color w:val="000000"/>
          <w:u w:color="000000"/>
          <w:bdr w:val="nil"/>
          <w:lang w:val="en-US" w:eastAsia="hu-HU"/>
        </w:rPr>
      </w:pPr>
      <w:r w:rsidRPr="00E654A3">
        <w:rPr>
          <w:rFonts w:ascii="Calibri" w:eastAsia="Arial Unicode MS" w:hAnsi="Calibri" w:cstheme="minorHAnsi"/>
          <w:color w:val="000000"/>
          <w:u w:color="000000"/>
          <w:bdr w:val="nil"/>
          <w:lang w:val="en-US" w:eastAsia="hu-HU"/>
        </w:rPr>
        <w:t>The notion of spokespersonship</w:t>
      </w:r>
      <w:r>
        <w:rPr>
          <w:rFonts w:ascii="Calibri" w:eastAsia="Arial Unicode MS" w:hAnsi="Calibri" w:cstheme="minorHAnsi"/>
          <w:color w:val="000000"/>
          <w:u w:color="000000"/>
          <w:bdr w:val="nil"/>
          <w:lang w:val="en-US" w:eastAsia="hu-HU"/>
        </w:rPr>
        <w:t>,</w:t>
      </w:r>
      <w:r>
        <w:rPr>
          <w:rFonts w:ascii="Calibri" w:eastAsia="Arial Unicode MS" w:hAnsi="Calibri" w:cstheme="minorHAnsi"/>
          <w:color w:val="000000"/>
          <w:u w:color="000000"/>
          <w:bdr w:val="nil"/>
          <w:lang w:eastAsia="hu-HU"/>
        </w:rPr>
        <w:t xml:space="preserve"> </w:t>
      </w:r>
      <w:r>
        <w:rPr>
          <w:rFonts w:ascii="Calibri" w:eastAsia="Arial Unicode MS" w:hAnsi="Calibri" w:cstheme="minorHAnsi"/>
          <w:color w:val="000000"/>
          <w:u w:color="000000"/>
          <w:bdr w:val="nil"/>
          <w:lang w:val="en-US" w:eastAsia="hu-HU"/>
        </w:rPr>
        <w:t>however,</w:t>
      </w:r>
      <w:r w:rsidRPr="00E654A3">
        <w:rPr>
          <w:rFonts w:ascii="Calibri" w:eastAsia="Arial Unicode MS" w:hAnsi="Calibri" w:cstheme="minorHAnsi"/>
          <w:color w:val="000000"/>
          <w:u w:color="000000"/>
          <w:bdr w:val="nil"/>
          <w:lang w:val="en-US" w:eastAsia="hu-HU"/>
        </w:rPr>
        <w:t xml:space="preserve"> adds to this </w:t>
      </w:r>
      <w:r>
        <w:rPr>
          <w:rFonts w:ascii="Calibri" w:eastAsia="Arial Unicode MS" w:hAnsi="Calibri" w:cstheme="minorHAnsi"/>
          <w:color w:val="000000"/>
          <w:u w:color="000000"/>
          <w:bdr w:val="nil"/>
          <w:lang w:val="en-US" w:eastAsia="hu-HU"/>
        </w:rPr>
        <w:t>complexity</w:t>
      </w:r>
      <w:r w:rsidRPr="00E654A3">
        <w:rPr>
          <w:rFonts w:ascii="Calibri" w:eastAsia="Arial Unicode MS" w:hAnsi="Calibri" w:cstheme="minorHAnsi"/>
          <w:color w:val="000000"/>
          <w:u w:color="000000"/>
          <w:bdr w:val="nil"/>
          <w:lang w:val="en-US" w:eastAsia="hu-HU"/>
        </w:rPr>
        <w:t xml:space="preserve"> since it captures </w:t>
      </w:r>
      <w:r>
        <w:rPr>
          <w:rFonts w:ascii="Calibri" w:eastAsia="Arial Unicode MS" w:hAnsi="Calibri" w:cstheme="minorHAnsi"/>
          <w:color w:val="000000"/>
          <w:u w:color="000000"/>
          <w:bdr w:val="nil"/>
          <w:lang w:val="en-US" w:eastAsia="hu-HU"/>
        </w:rPr>
        <w:t xml:space="preserve">well </w:t>
      </w:r>
      <w:r w:rsidRPr="00E654A3">
        <w:rPr>
          <w:rFonts w:ascii="Calibri" w:eastAsia="Arial Unicode MS" w:hAnsi="Calibri" w:cstheme="minorHAnsi"/>
          <w:color w:val="000000"/>
          <w:u w:color="000000"/>
          <w:bdr w:val="nil"/>
          <w:lang w:val="en-US" w:eastAsia="hu-HU"/>
        </w:rPr>
        <w:t>the double effect of the act of representation: spokespersons speak in the name of, and hence in the place of others, and this gesture inevitably first reduces them to (or seduces into) silence before they can eff</w:t>
      </w:r>
      <w:r>
        <w:rPr>
          <w:rFonts w:ascii="Calibri" w:eastAsia="Arial Unicode MS" w:hAnsi="Calibri" w:cstheme="minorHAnsi"/>
          <w:color w:val="000000"/>
          <w:u w:color="000000"/>
          <w:bdr w:val="nil"/>
          <w:lang w:val="en-US" w:eastAsia="hu-HU"/>
        </w:rPr>
        <w:t>ectively be spoken for (Pels 200</w:t>
      </w:r>
      <w:r w:rsidRPr="00E654A3">
        <w:rPr>
          <w:rFonts w:ascii="Calibri" w:eastAsia="Arial Unicode MS" w:hAnsi="Calibri" w:cstheme="minorHAnsi"/>
          <w:color w:val="000000"/>
          <w:u w:color="000000"/>
          <w:bdr w:val="nil"/>
          <w:lang w:val="en-US" w:eastAsia="hu-HU"/>
        </w:rPr>
        <w:t>0, 2). Representation „is ‘presenting’ that which is not immediately at hand, which is absent... What is absent must be imagined, evoked, designated, signified, or performed; what is unable to speak for itself must be spoken for and given voice… representation hence always requires an interm</w:t>
      </w:r>
      <w:r>
        <w:rPr>
          <w:rFonts w:ascii="Calibri" w:eastAsia="Arial Unicode MS" w:hAnsi="Calibri" w:cstheme="minorHAnsi"/>
          <w:color w:val="000000"/>
          <w:u w:color="000000"/>
          <w:bdr w:val="nil"/>
          <w:lang w:val="en-US" w:eastAsia="hu-HU"/>
        </w:rPr>
        <w:t>ediary: a spokesperson (Pels 200</w:t>
      </w:r>
      <w:r w:rsidRPr="00E654A3">
        <w:rPr>
          <w:rFonts w:ascii="Calibri" w:eastAsia="Arial Unicode MS" w:hAnsi="Calibri" w:cstheme="minorHAnsi"/>
          <w:color w:val="000000"/>
          <w:u w:color="000000"/>
          <w:bdr w:val="nil"/>
          <w:lang w:val="en-US" w:eastAsia="hu-HU"/>
        </w:rPr>
        <w:t>0, 1). And this relation is always fraught with uncertainty – usually, the spokesperson claims to be „true”, to be transparent, t</w:t>
      </w:r>
      <w:r>
        <w:rPr>
          <w:rFonts w:ascii="Calibri" w:eastAsia="Arial Unicode MS" w:hAnsi="Calibri" w:cstheme="minorHAnsi"/>
          <w:color w:val="000000"/>
          <w:u w:color="000000"/>
          <w:bdr w:val="nil"/>
          <w:lang w:val="en-US" w:eastAsia="hu-HU"/>
        </w:rPr>
        <w:t>o be trustworthy, but</w:t>
      </w:r>
      <w:r w:rsidRPr="00E654A3">
        <w:rPr>
          <w:rFonts w:ascii="Calibri" w:eastAsia="Arial Unicode MS" w:hAnsi="Calibri" w:cstheme="minorHAnsi"/>
          <w:color w:val="000000"/>
          <w:u w:color="000000"/>
          <w:bdr w:val="nil"/>
          <w:lang w:val="en-US" w:eastAsia="hu-HU"/>
        </w:rPr>
        <w:t xml:space="preserve"> „[a]t the heart of representation lurks the permanent danger of usurpation: the risk that spokespersons may take the place and usurp the power of the subjects and objects</w:t>
      </w:r>
      <w:r>
        <w:rPr>
          <w:rFonts w:ascii="Calibri" w:eastAsia="Arial Unicode MS" w:hAnsi="Calibri" w:cstheme="minorHAnsi"/>
          <w:color w:val="000000"/>
          <w:u w:color="000000"/>
          <w:bdr w:val="nil"/>
          <w:lang w:val="en-US" w:eastAsia="hu-HU"/>
        </w:rPr>
        <w:t xml:space="preserve"> which they represent</w:t>
      </w:r>
      <w:r>
        <w:rPr>
          <w:rFonts w:ascii="Calibri" w:eastAsia="Arial Unicode MS" w:hAnsi="Calibri" w:cstheme="minorHAnsi"/>
          <w:color w:val="000000"/>
          <w:u w:color="000000"/>
          <w:bdr w:val="nil"/>
          <w:lang w:eastAsia="hu-HU"/>
        </w:rPr>
        <w:t>”</w:t>
      </w:r>
      <w:r>
        <w:rPr>
          <w:rFonts w:ascii="Calibri" w:eastAsia="Arial Unicode MS" w:hAnsi="Calibri" w:cstheme="minorHAnsi"/>
          <w:color w:val="000000"/>
          <w:u w:color="000000"/>
          <w:bdr w:val="nil"/>
          <w:lang w:val="en-US" w:eastAsia="hu-HU"/>
        </w:rPr>
        <w:t xml:space="preserve"> (Pels 200</w:t>
      </w:r>
      <w:r w:rsidRPr="00E654A3">
        <w:rPr>
          <w:rFonts w:ascii="Calibri" w:eastAsia="Arial Unicode MS" w:hAnsi="Calibri" w:cstheme="minorHAnsi"/>
          <w:color w:val="000000"/>
          <w:u w:color="000000"/>
          <w:bdr w:val="nil"/>
          <w:lang w:val="en-US" w:eastAsia="hu-HU"/>
        </w:rPr>
        <w:t xml:space="preserve">0, 2). </w:t>
      </w:r>
    </w:p>
    <w:p w:rsidR="00631B5E" w:rsidRPr="009A5CBC" w:rsidRDefault="00631B5E" w:rsidP="00423969">
      <w:pPr>
        <w:jc w:val="both"/>
        <w:rPr>
          <w:rFonts w:eastAsia="Arial Unicode MS" w:cstheme="minorHAnsi"/>
          <w:color w:val="000000"/>
          <w:u w:color="000000"/>
          <w:bdr w:val="nil"/>
          <w:lang w:val="en-US" w:eastAsia="hu-HU"/>
        </w:rPr>
      </w:pPr>
      <w:r w:rsidRPr="00E654A3">
        <w:rPr>
          <w:rFonts w:ascii="Calibri" w:eastAsia="Arial Unicode MS" w:hAnsi="Calibri" w:cstheme="minorHAnsi"/>
          <w:color w:val="000000"/>
          <w:u w:color="000000"/>
          <w:bdr w:val="nil"/>
          <w:lang w:val="en-US" w:eastAsia="hu-HU"/>
        </w:rPr>
        <w:t>The double effect of spokespersonship – simultaneousl</w:t>
      </w:r>
      <w:r>
        <w:rPr>
          <w:rFonts w:ascii="Calibri" w:eastAsia="Arial Unicode MS" w:hAnsi="Calibri" w:cstheme="minorHAnsi"/>
          <w:color w:val="000000"/>
          <w:u w:color="000000"/>
          <w:bdr w:val="nil"/>
          <w:lang w:val="en-US" w:eastAsia="hu-HU"/>
        </w:rPr>
        <w:t xml:space="preserve">y giving voice to </w:t>
      </w:r>
      <w:r w:rsidRPr="00E654A3">
        <w:rPr>
          <w:rFonts w:ascii="Calibri" w:eastAsia="Arial Unicode MS" w:hAnsi="Calibri" w:cstheme="minorHAnsi"/>
          <w:color w:val="000000"/>
          <w:u w:color="000000"/>
          <w:bdr w:val="nil"/>
          <w:lang w:val="en-US" w:eastAsia="hu-HU"/>
        </w:rPr>
        <w:t xml:space="preserve">the voiceless, and threatening to appropriate and oppress them – has been conceptualised in </w:t>
      </w:r>
      <w:r>
        <w:rPr>
          <w:rFonts w:ascii="Calibri" w:eastAsia="Arial Unicode MS" w:hAnsi="Calibri" w:cstheme="minorHAnsi"/>
          <w:color w:val="000000"/>
          <w:u w:color="000000"/>
          <w:bdr w:val="nil"/>
          <w:lang w:val="en-US" w:eastAsia="hu-HU"/>
        </w:rPr>
        <w:t>analyses</w:t>
      </w:r>
      <w:r w:rsidRPr="00E654A3">
        <w:rPr>
          <w:rFonts w:ascii="Calibri" w:eastAsia="Arial Unicode MS" w:hAnsi="Calibri" w:cstheme="minorHAnsi"/>
          <w:color w:val="000000"/>
          <w:u w:color="000000"/>
          <w:bdr w:val="nil"/>
          <w:lang w:val="en-US" w:eastAsia="hu-HU"/>
        </w:rPr>
        <w:t xml:space="preserve"> focusing on the role of social sciences and the intellectual (Renault</w:t>
      </w:r>
      <w:r>
        <w:rPr>
          <w:rFonts w:ascii="Calibri" w:eastAsia="Arial Unicode MS" w:hAnsi="Calibri" w:cstheme="minorHAnsi"/>
          <w:color w:val="000000"/>
          <w:u w:color="000000"/>
          <w:bdr w:val="nil"/>
          <w:lang w:val="en-US" w:eastAsia="hu-HU"/>
        </w:rPr>
        <w:t xml:space="preserve"> 2012;</w:t>
      </w:r>
      <w:r w:rsidRPr="00E654A3">
        <w:rPr>
          <w:rFonts w:ascii="Calibri" w:eastAsia="Arial Unicode MS" w:hAnsi="Calibri" w:cstheme="minorHAnsi"/>
          <w:color w:val="000000"/>
          <w:u w:color="000000"/>
          <w:bdr w:val="nil"/>
          <w:lang w:val="en-US" w:eastAsia="hu-HU"/>
        </w:rPr>
        <w:t xml:space="preserve"> Pels</w:t>
      </w:r>
      <w:r>
        <w:rPr>
          <w:rFonts w:ascii="Calibri" w:eastAsia="Arial Unicode MS" w:hAnsi="Calibri" w:cstheme="minorHAnsi"/>
          <w:color w:val="000000"/>
          <w:u w:color="000000"/>
          <w:bdr w:val="nil"/>
          <w:lang w:val="en-US" w:eastAsia="hu-HU"/>
        </w:rPr>
        <w:t xml:space="preserve"> 2000</w:t>
      </w:r>
      <w:r w:rsidRPr="00E654A3">
        <w:rPr>
          <w:rFonts w:ascii="Calibri" w:eastAsia="Arial Unicode MS" w:hAnsi="Calibri" w:cstheme="minorHAnsi"/>
          <w:color w:val="000000"/>
          <w:u w:color="000000"/>
          <w:bdr w:val="nil"/>
          <w:lang w:val="en-US" w:eastAsia="hu-HU"/>
        </w:rPr>
        <w:t xml:space="preserve">), the political </w:t>
      </w:r>
      <w:r>
        <w:rPr>
          <w:rFonts w:ascii="Calibri" w:eastAsia="Arial Unicode MS" w:hAnsi="Calibri" w:cstheme="minorHAnsi"/>
          <w:color w:val="000000"/>
          <w:u w:color="000000"/>
          <w:bdr w:val="nil"/>
          <w:lang w:val="en-US" w:eastAsia="hu-HU"/>
        </w:rPr>
        <w:t>implications of the concept of translation (Callon 1986) and is famously discussed by Pierre Bourdieu (1991)</w:t>
      </w:r>
      <w:r w:rsidRPr="009A5CBC">
        <w:rPr>
          <w:rFonts w:eastAsia="Arial Unicode MS" w:cstheme="minorHAnsi"/>
          <w:color w:val="000000"/>
          <w:u w:color="000000"/>
          <w:bdr w:val="nil"/>
          <w:lang w:val="en-US" w:eastAsia="hu-HU"/>
        </w:rPr>
        <w:t xml:space="preserve">. Similar in its attention to the power relations that invisibly </w:t>
      </w:r>
      <w:r>
        <w:rPr>
          <w:rFonts w:eastAsia="Arial Unicode MS" w:cstheme="minorHAnsi"/>
          <w:color w:val="000000"/>
          <w:u w:color="000000"/>
          <w:bdr w:val="nil"/>
          <w:lang w:val="en-US" w:eastAsia="hu-HU"/>
        </w:rPr>
        <w:t>silence</w:t>
      </w:r>
      <w:r w:rsidRPr="009A5CBC">
        <w:rPr>
          <w:rFonts w:eastAsia="Arial Unicode MS" w:cstheme="minorHAnsi"/>
          <w:color w:val="000000"/>
          <w:u w:color="000000"/>
          <w:bdr w:val="nil"/>
          <w:lang w:val="en-US" w:eastAsia="hu-HU"/>
        </w:rPr>
        <w:t xml:space="preserve"> and displace voices</w:t>
      </w:r>
      <w:r>
        <w:rPr>
          <w:rFonts w:eastAsia="Arial Unicode MS" w:cstheme="minorHAnsi"/>
          <w:color w:val="000000"/>
          <w:u w:color="000000"/>
          <w:bdr w:val="nil"/>
          <w:lang w:val="en-US" w:eastAsia="hu-HU"/>
        </w:rPr>
        <w:t>, while claiming to liberate and empower,</w:t>
      </w:r>
      <w:r w:rsidRPr="009A5CBC">
        <w:rPr>
          <w:rFonts w:eastAsia="Arial Unicode MS" w:cstheme="minorHAnsi"/>
          <w:color w:val="000000"/>
          <w:u w:color="000000"/>
          <w:bdr w:val="nil"/>
          <w:lang w:val="en-US" w:eastAsia="hu-HU"/>
        </w:rPr>
        <w:t xml:space="preserve"> is the closely related research on epistemic injustice (Fricker</w:t>
      </w:r>
      <w:r>
        <w:rPr>
          <w:rFonts w:eastAsia="Arial Unicode MS" w:cstheme="minorHAnsi"/>
          <w:color w:val="000000"/>
          <w:u w:color="000000"/>
          <w:bdr w:val="nil"/>
          <w:lang w:val="en-US" w:eastAsia="hu-HU"/>
        </w:rPr>
        <w:t xml:space="preserve"> 2007;</w:t>
      </w:r>
      <w:r w:rsidRPr="009A5CBC">
        <w:rPr>
          <w:rFonts w:eastAsia="Arial Unicode MS" w:cstheme="minorHAnsi"/>
          <w:color w:val="000000"/>
          <w:u w:color="000000"/>
          <w:bdr w:val="nil"/>
          <w:lang w:val="en-US" w:eastAsia="hu-HU"/>
        </w:rPr>
        <w:t xml:space="preserve"> Kidd et al.</w:t>
      </w:r>
      <w:r>
        <w:rPr>
          <w:rFonts w:eastAsia="Arial Unicode MS" w:cstheme="minorHAnsi"/>
          <w:color w:val="000000"/>
          <w:u w:color="000000"/>
          <w:bdr w:val="nil"/>
          <w:lang w:val="en-US" w:eastAsia="hu-HU"/>
        </w:rPr>
        <w:t xml:space="preserve"> 2017), inspired also by the</w:t>
      </w:r>
      <w:r w:rsidRPr="009A5CBC">
        <w:rPr>
          <w:rFonts w:eastAsia="Arial Unicode MS" w:cstheme="minorHAnsi"/>
          <w:color w:val="000000"/>
          <w:u w:color="000000"/>
          <w:bdr w:val="nil"/>
          <w:lang w:val="en-US" w:eastAsia="hu-HU"/>
        </w:rPr>
        <w:t xml:space="preserve"> feminist </w:t>
      </w:r>
      <w:r>
        <w:rPr>
          <w:rFonts w:eastAsia="Arial Unicode MS" w:cstheme="minorHAnsi"/>
          <w:color w:val="000000"/>
          <w:u w:color="000000"/>
          <w:bdr w:val="nil"/>
          <w:lang w:val="en-US" w:eastAsia="hu-HU"/>
        </w:rPr>
        <w:t>tradition and post-colonial studies</w:t>
      </w:r>
      <w:r w:rsidRPr="009A5CBC">
        <w:rPr>
          <w:rFonts w:cstheme="minorHAnsi"/>
          <w:color w:val="242021"/>
          <w:lang w:val="en-US"/>
        </w:rPr>
        <w:t>.</w:t>
      </w:r>
    </w:p>
    <w:p w:rsidR="00631B5E" w:rsidRPr="00AF10B7" w:rsidRDefault="00631B5E" w:rsidP="00AF10B7">
      <w:pPr>
        <w:jc w:val="both"/>
        <w:rPr>
          <w:rFonts w:cstheme="minorHAnsi"/>
          <w:lang w:val="en-US"/>
        </w:rPr>
      </w:pPr>
      <w:r w:rsidRPr="009A5CBC">
        <w:rPr>
          <w:rFonts w:cstheme="minorHAnsi"/>
          <w:lang w:val="en-US"/>
        </w:rPr>
        <w:t>Thus</w:t>
      </w:r>
      <w:r>
        <w:rPr>
          <w:rFonts w:cstheme="minorHAnsi"/>
          <w:lang w:val="en-US"/>
        </w:rPr>
        <w:t>,</w:t>
      </w:r>
      <w:r w:rsidRPr="009A5CBC">
        <w:rPr>
          <w:rFonts w:cstheme="minorHAnsi"/>
          <w:lang w:val="en-US"/>
        </w:rPr>
        <w:t xml:space="preserve"> the notion of spokespersonship as a conceptual tool could serve well to capture the specificities of the claims-making and advocacy of the mental health professionals and service</w:t>
      </w:r>
      <w:r w:rsidRPr="00AF10B7">
        <w:rPr>
          <w:rFonts w:cstheme="minorHAnsi"/>
          <w:lang w:val="en-US"/>
        </w:rPr>
        <w:t xml:space="preserve"> providers in Bulgaria. </w:t>
      </w:r>
      <w:r>
        <w:rPr>
          <w:rFonts w:cstheme="minorHAnsi"/>
          <w:lang w:val="en-US"/>
        </w:rPr>
        <w:t>I</w:t>
      </w:r>
      <w:r w:rsidRPr="00AF10B7">
        <w:rPr>
          <w:rFonts w:cstheme="minorHAnsi"/>
          <w:lang w:val="en-US"/>
        </w:rPr>
        <w:t xml:space="preserve">t helps some </w:t>
      </w:r>
      <w:r>
        <w:rPr>
          <w:rFonts w:cstheme="minorHAnsi"/>
          <w:lang w:val="en-US"/>
        </w:rPr>
        <w:t>key features</w:t>
      </w:r>
      <w:r w:rsidRPr="00AF10B7">
        <w:rPr>
          <w:rFonts w:cstheme="minorHAnsi"/>
          <w:lang w:val="en-US"/>
        </w:rPr>
        <w:t xml:space="preserve"> of their meaning-making work transpire: the subtle continuity of the mobilised frames, the repertoires, which target and recruit allies, the tactics that silence the patients but simultaneously pretend to express their genuine experiences, and the construction of the imagery of collective identity and common interests. </w:t>
      </w:r>
    </w:p>
    <w:p w:rsidR="00631B5E" w:rsidRPr="00AF10B7" w:rsidRDefault="00631B5E" w:rsidP="00AF10B7">
      <w:pPr>
        <w:jc w:val="both"/>
        <w:rPr>
          <w:rFonts w:cstheme="minorHAnsi"/>
          <w:lang w:val="en-US"/>
        </w:rPr>
      </w:pPr>
      <w:r w:rsidRPr="00AF10B7">
        <w:rPr>
          <w:rFonts w:cstheme="minorHAnsi"/>
          <w:lang w:val="en-US"/>
        </w:rPr>
        <w:t>Equipped with this conceptual toolkit we can see that the dominant relation is benevolent silencing of the patients</w:t>
      </w:r>
      <w:r>
        <w:rPr>
          <w:rFonts w:cstheme="minorHAnsi"/>
          <w:lang w:val="en-US"/>
        </w:rPr>
        <w:t>,</w:t>
      </w:r>
      <w:r w:rsidRPr="00AF10B7">
        <w:rPr>
          <w:rFonts w:cstheme="minorHAnsi"/>
          <w:lang w:val="en-US"/>
        </w:rPr>
        <w:t xml:space="preserve"> which exhausts their public presence, visibility, and audibility. It is invariably presented by the professionals as a trustworthy and compassionate representation of patien</w:t>
      </w:r>
      <w:r>
        <w:rPr>
          <w:rFonts w:cstheme="minorHAnsi"/>
          <w:lang w:val="en-US"/>
        </w:rPr>
        <w:t>ts’ interests. This reminds of</w:t>
      </w:r>
      <w:r w:rsidRPr="00AF10B7">
        <w:rPr>
          <w:rFonts w:cstheme="minorHAnsi"/>
          <w:lang w:val="en-US"/>
        </w:rPr>
        <w:t xml:space="preserve"> the concept and practice of benevolent othering, </w:t>
      </w:r>
      <w:r>
        <w:rPr>
          <w:rFonts w:cstheme="minorHAnsi"/>
          <w:lang w:val="en-US"/>
        </w:rPr>
        <w:t>analysed</w:t>
      </w:r>
      <w:r w:rsidRPr="00AF10B7">
        <w:rPr>
          <w:rFonts w:cstheme="minorHAnsi"/>
          <w:lang w:val="en-US"/>
        </w:rPr>
        <w:t xml:space="preserve"> by Grey </w:t>
      </w:r>
      <w:r>
        <w:rPr>
          <w:rFonts w:cstheme="minorHAnsi"/>
          <w:lang w:val="en-US"/>
        </w:rPr>
        <w:t>(</w:t>
      </w:r>
      <w:r w:rsidRPr="00AF10B7">
        <w:rPr>
          <w:rFonts w:cstheme="minorHAnsi"/>
          <w:lang w:val="en-US"/>
        </w:rPr>
        <w:t>2016, 241</w:t>
      </w:r>
      <w:r>
        <w:rPr>
          <w:rFonts w:cstheme="minorHAnsi"/>
          <w:lang w:val="en-US"/>
        </w:rPr>
        <w:t>):</w:t>
      </w:r>
      <w:r w:rsidRPr="00AF10B7">
        <w:rPr>
          <w:rFonts w:cstheme="minorHAnsi"/>
          <w:lang w:val="en-US"/>
        </w:rPr>
        <w:t xml:space="preserve"> „</w:t>
      </w:r>
      <w:r>
        <w:rPr>
          <w:rFonts w:cstheme="minorHAnsi"/>
          <w:lang w:val="en-US"/>
        </w:rPr>
        <w:t xml:space="preserve">a </w:t>
      </w:r>
      <w:r w:rsidRPr="00AF10B7">
        <w:rPr>
          <w:rFonts w:cstheme="minorHAnsi"/>
          <w:lang w:val="en-US"/>
        </w:rPr>
        <w:t>discursive phenomenon …. in which others are spoken of in ways that are ostensibly positive, but that function to maintain the subordination of mental health service users”. This is additionally exacerbated by the „discursive production of a benevolent subject position</w:t>
      </w:r>
      <w:r>
        <w:rPr>
          <w:rFonts w:cstheme="minorHAnsi"/>
          <w:lang w:val="en-US"/>
        </w:rPr>
        <w:t xml:space="preserve"> [of the mental health professionals]</w:t>
      </w:r>
      <w:r w:rsidRPr="00AF10B7">
        <w:rPr>
          <w:rFonts w:cstheme="minorHAnsi"/>
          <w:lang w:val="en-US"/>
        </w:rPr>
        <w:t>”: „[r]ecognizing oneself as ‘giving’ … returns a gratifying self-image of goodness and generosity, the image of oneself as a ‘giving-being,’ invested with the power of giving” (</w:t>
      </w:r>
      <w:r>
        <w:rPr>
          <w:rFonts w:cstheme="minorHAnsi"/>
          <w:lang w:val="en-US"/>
        </w:rPr>
        <w:t xml:space="preserve">2016, </w:t>
      </w:r>
      <w:r w:rsidRPr="00AF10B7">
        <w:rPr>
          <w:rFonts w:cstheme="minorHAnsi"/>
          <w:lang w:val="en-US"/>
        </w:rPr>
        <w:t xml:space="preserve">244). </w:t>
      </w:r>
    </w:p>
    <w:p w:rsidR="00631B5E" w:rsidRDefault="00631B5E" w:rsidP="00AF10B7">
      <w:pPr>
        <w:jc w:val="both"/>
        <w:rPr>
          <w:rFonts w:cstheme="minorHAnsi"/>
          <w:lang w:val="en-US"/>
        </w:rPr>
      </w:pPr>
      <w:r w:rsidRPr="00AF10B7">
        <w:rPr>
          <w:rFonts w:cstheme="minorHAnsi"/>
          <w:lang w:val="en-US"/>
        </w:rPr>
        <w:t xml:space="preserve">Similar framing ritual is performed locally bearing one key difference, which is quite distinctive and survives the broader political transformations of the transitional period, namely the professionals’ gesture of </w:t>
      </w:r>
      <w:r w:rsidRPr="00EA440A">
        <w:rPr>
          <w:rFonts w:cstheme="minorHAnsi"/>
          <w:i/>
          <w:lang w:val="en-US"/>
        </w:rPr>
        <w:t>benevolent allying</w:t>
      </w:r>
      <w:r w:rsidRPr="00AF10B7">
        <w:rPr>
          <w:rFonts w:cstheme="minorHAnsi"/>
          <w:lang w:val="en-US"/>
        </w:rPr>
        <w:t xml:space="preserve">. In other words, they assume the role not only of spokespersons, who represent patients’ voices, but also the role of their allies who themselves suffer the same rejection and marginalisation – on the part of the public, the state, and the other medical </w:t>
      </w:r>
      <w:r>
        <w:rPr>
          <w:rFonts w:cstheme="minorHAnsi"/>
          <w:lang w:val="en-US"/>
        </w:rPr>
        <w:t>disciplines</w:t>
      </w:r>
      <w:r w:rsidRPr="00AF10B7">
        <w:rPr>
          <w:rFonts w:cstheme="minorHAnsi"/>
          <w:lang w:val="en-US"/>
        </w:rPr>
        <w:t>.</w:t>
      </w:r>
    </w:p>
    <w:p w:rsidR="00631B5E" w:rsidRDefault="00631B5E" w:rsidP="005D65BE">
      <w:pPr>
        <w:jc w:val="both"/>
        <w:rPr>
          <w:rFonts w:cstheme="minorHAnsi"/>
          <w:lang w:val="en-US"/>
        </w:rPr>
      </w:pPr>
      <w:r>
        <w:rPr>
          <w:rFonts w:cstheme="minorHAnsi"/>
        </w:rPr>
        <w:t xml:space="preserve">I use content analysis (Hsieh </w:t>
      </w:r>
      <w:r>
        <w:rPr>
          <w:rFonts w:cstheme="minorHAnsi"/>
          <w:lang w:val="en-US"/>
        </w:rPr>
        <w:t>and</w:t>
      </w:r>
      <w:r>
        <w:rPr>
          <w:rFonts w:cstheme="minorHAnsi"/>
        </w:rPr>
        <w:t xml:space="preserve"> Shannon</w:t>
      </w:r>
      <w:r w:rsidRPr="004F0D40">
        <w:rPr>
          <w:rFonts w:cstheme="minorHAnsi"/>
        </w:rPr>
        <w:t xml:space="preserve"> 2005; </w:t>
      </w:r>
      <w:r>
        <w:rPr>
          <w:rFonts w:cstheme="minorHAnsi"/>
        </w:rPr>
        <w:t>Krippendorff</w:t>
      </w:r>
      <w:r w:rsidRPr="004F0D40">
        <w:rPr>
          <w:rFonts w:cstheme="minorHAnsi"/>
        </w:rPr>
        <w:t xml:space="preserve"> 2003) of textual data </w:t>
      </w:r>
      <w:r>
        <w:rPr>
          <w:rFonts w:cstheme="minorHAnsi"/>
          <w:lang w:val="en-US"/>
        </w:rPr>
        <w:t xml:space="preserve">that </w:t>
      </w:r>
      <w:r>
        <w:rPr>
          <w:rFonts w:cstheme="minorHAnsi"/>
        </w:rPr>
        <w:t>includ</w:t>
      </w:r>
      <w:r>
        <w:rPr>
          <w:rFonts w:cstheme="minorHAnsi"/>
          <w:lang w:val="en-US"/>
        </w:rPr>
        <w:t>e</w:t>
      </w:r>
      <w:r>
        <w:rPr>
          <w:rFonts w:cstheme="minorHAnsi"/>
        </w:rPr>
        <w:t xml:space="preserve"> the following sources:</w:t>
      </w:r>
      <w:r w:rsidRPr="004F0D40">
        <w:rPr>
          <w:rFonts w:cstheme="minorHAnsi"/>
        </w:rPr>
        <w:t xml:space="preserve"> </w:t>
      </w:r>
      <w:r>
        <w:rPr>
          <w:rFonts w:cstheme="minorHAnsi"/>
          <w:lang w:val="en-US"/>
        </w:rPr>
        <w:t>t</w:t>
      </w:r>
      <w:r w:rsidRPr="004F0D40">
        <w:rPr>
          <w:rFonts w:cstheme="minorHAnsi"/>
        </w:rPr>
        <w:t>he comp</w:t>
      </w:r>
      <w:r>
        <w:rPr>
          <w:rFonts w:cstheme="minorHAnsi"/>
        </w:rPr>
        <w:t>lete issues of three journals –</w:t>
      </w:r>
      <w:r>
        <w:rPr>
          <w:rFonts w:cstheme="minorHAnsi"/>
          <w:lang w:val="en-US"/>
        </w:rPr>
        <w:t xml:space="preserve"> </w:t>
      </w:r>
      <w:r w:rsidRPr="004F0D40">
        <w:rPr>
          <w:rFonts w:cstheme="minorHAnsi"/>
        </w:rPr>
        <w:t>Neurolo</w:t>
      </w:r>
      <w:r>
        <w:rPr>
          <w:rFonts w:cstheme="minorHAnsi"/>
        </w:rPr>
        <w:t xml:space="preserve">gy, Psychiatry and Neurosurgery (1963–1989), </w:t>
      </w:r>
      <w:r w:rsidRPr="004F0D40">
        <w:rPr>
          <w:rFonts w:cstheme="minorHAnsi"/>
        </w:rPr>
        <w:t>Bulletin of the Scientific Institute of Neurology, Psychiatry and Neurosurgery (1958–</w:t>
      </w:r>
      <w:r w:rsidRPr="004F0D40">
        <w:rPr>
          <w:rFonts w:cstheme="minorHAnsi"/>
        </w:rPr>
        <w:lastRenderedPageBreak/>
        <w:t>1984), and the Bulletin of the Bulgarian Psychiatric Association (1993-2005) as well as textbooks and monographs in psychiatry and psychopa</w:t>
      </w:r>
      <w:r>
        <w:rPr>
          <w:rFonts w:cstheme="minorHAnsi"/>
        </w:rPr>
        <w:t xml:space="preserve">thology. The first two </w:t>
      </w:r>
      <w:r w:rsidRPr="004F0D40">
        <w:rPr>
          <w:rFonts w:cstheme="minorHAnsi"/>
        </w:rPr>
        <w:t xml:space="preserve">are the main academic </w:t>
      </w:r>
      <w:r>
        <w:rPr>
          <w:rFonts w:cstheme="minorHAnsi"/>
          <w:lang w:val="en-US"/>
        </w:rPr>
        <w:t>journals</w:t>
      </w:r>
      <w:r w:rsidRPr="004F0D40">
        <w:rPr>
          <w:rFonts w:cstheme="minorHAnsi"/>
        </w:rPr>
        <w:t xml:space="preserve"> </w:t>
      </w:r>
      <w:r>
        <w:rPr>
          <w:rFonts w:cstheme="minorHAnsi"/>
          <w:lang w:val="en-US"/>
        </w:rPr>
        <w:t>in psychiatry</w:t>
      </w:r>
      <w:r w:rsidRPr="004F0D40">
        <w:rPr>
          <w:rFonts w:cstheme="minorHAnsi"/>
        </w:rPr>
        <w:t xml:space="preserve"> during socialism, and the third </w:t>
      </w:r>
      <w:r>
        <w:rPr>
          <w:rFonts w:cstheme="minorHAnsi"/>
          <w:lang w:val="en-US"/>
        </w:rPr>
        <w:t xml:space="preserve">one </w:t>
      </w:r>
      <w:r w:rsidRPr="004F0D40">
        <w:rPr>
          <w:rFonts w:cstheme="minorHAnsi"/>
        </w:rPr>
        <w:t xml:space="preserve">is the platform of the </w:t>
      </w:r>
      <w:r>
        <w:rPr>
          <w:rFonts w:cstheme="minorHAnsi"/>
        </w:rPr>
        <w:t xml:space="preserve">reforming </w:t>
      </w:r>
      <w:r>
        <w:rPr>
          <w:rFonts w:cstheme="minorHAnsi"/>
          <w:lang w:val="en-US"/>
        </w:rPr>
        <w:t>mental health</w:t>
      </w:r>
      <w:r>
        <w:rPr>
          <w:rFonts w:cstheme="minorHAnsi"/>
        </w:rPr>
        <w:t xml:space="preserve"> community</w:t>
      </w:r>
      <w:r w:rsidRPr="004F0D40">
        <w:rPr>
          <w:rFonts w:cstheme="minorHAnsi"/>
        </w:rPr>
        <w:t xml:space="preserve"> during the early transition. Additional sources are the websites of the </w:t>
      </w:r>
      <w:r>
        <w:rPr>
          <w:rFonts w:cstheme="minorHAnsi"/>
          <w:lang w:val="en-US"/>
        </w:rPr>
        <w:t>leading</w:t>
      </w:r>
      <w:r w:rsidRPr="004F0D40">
        <w:rPr>
          <w:rFonts w:cstheme="minorHAnsi"/>
        </w:rPr>
        <w:t xml:space="preserve"> NGOs in the field such as Global Initiative on Psychiatry – Bulgaria, Association “Adaptation”, and Association “Chovekolubie”</w:t>
      </w:r>
      <w:r>
        <w:rPr>
          <w:rFonts w:cstheme="minorHAnsi"/>
          <w:lang w:val="en-US"/>
        </w:rPr>
        <w:t xml:space="preserve"> </w:t>
      </w:r>
      <w:r>
        <w:t>(meaning “altruism”, “love of the fellow human”)</w:t>
      </w:r>
      <w:r w:rsidRPr="004F0D40">
        <w:rPr>
          <w:rFonts w:cstheme="minorHAnsi"/>
        </w:rPr>
        <w:t xml:space="preserve">. The main focus </w:t>
      </w:r>
      <w:r>
        <w:rPr>
          <w:rFonts w:cstheme="minorHAnsi"/>
          <w:lang w:val="en-US"/>
        </w:rPr>
        <w:t xml:space="preserve">in the paper </w:t>
      </w:r>
      <w:r w:rsidRPr="004F0D40">
        <w:rPr>
          <w:rFonts w:cstheme="minorHAnsi"/>
        </w:rPr>
        <w:t>is on the psychiatric academic elite since its representatives were the figures engaged with strategic action and advocacy.</w:t>
      </w:r>
    </w:p>
    <w:p w:rsidR="00631B5E" w:rsidRPr="005D65BE" w:rsidRDefault="00631B5E" w:rsidP="005D65BE">
      <w:pPr>
        <w:jc w:val="both"/>
        <w:rPr>
          <w:rFonts w:cstheme="minorHAnsi"/>
          <w:lang w:val="en-US"/>
        </w:rPr>
      </w:pPr>
      <w:r w:rsidRPr="00244A09">
        <w:rPr>
          <w:shd w:val="clear" w:color="auto" w:fill="FFFFFF"/>
          <w:lang w:val="en-US"/>
        </w:rPr>
        <w:t xml:space="preserve">Before proceeding a note on the language is necessary. </w:t>
      </w:r>
      <w:r>
        <w:rPr>
          <w:shd w:val="clear" w:color="auto" w:fill="FFFFFF"/>
          <w:lang w:val="en-US"/>
        </w:rPr>
        <w:t>The labels used to refer to people with psychiatric diagnoses reveal</w:t>
      </w:r>
      <w:r w:rsidRPr="00244A09">
        <w:rPr>
          <w:shd w:val="clear" w:color="auto" w:fill="FFFFFF"/>
          <w:lang w:val="en-US"/>
        </w:rPr>
        <w:t xml:space="preserve"> a lot about the current local state of non-existing contentious action on the part of the people with psychiatric diagnoses. The most frequent</w:t>
      </w:r>
      <w:r>
        <w:rPr>
          <w:shd w:val="clear" w:color="auto" w:fill="FFFFFF"/>
          <w:lang w:val="en-US"/>
        </w:rPr>
        <w:t xml:space="preserve">ly used labels </w:t>
      </w:r>
      <w:r w:rsidRPr="00244A09">
        <w:rPr>
          <w:shd w:val="clear" w:color="auto" w:fill="FFFFFF"/>
          <w:lang w:val="en-US"/>
        </w:rPr>
        <w:t>are “patients”, „mentally ill” „people suffering from mental illness/disorder”, and „people with psychiatric disabilities”. “Users of psychiatric services/of menta</w:t>
      </w:r>
      <w:r>
        <w:rPr>
          <w:shd w:val="clear" w:color="auto" w:fill="FFFFFF"/>
          <w:lang w:val="en-US"/>
        </w:rPr>
        <w:t>l health” figures rarely in</w:t>
      </w:r>
      <w:r w:rsidRPr="00244A09">
        <w:rPr>
          <w:shd w:val="clear" w:color="auto" w:fill="FFFFFF"/>
          <w:lang w:val="en-US"/>
        </w:rPr>
        <w:t xml:space="preserve"> state documents and programmes</w:t>
      </w:r>
      <w:r w:rsidRPr="003219B7">
        <w:rPr>
          <w:rStyle w:val="EndnoteReference"/>
        </w:rPr>
        <w:endnoteReference w:id="2"/>
      </w:r>
      <w:r w:rsidRPr="003219B7">
        <w:rPr>
          <w:rFonts w:cs="Calibri"/>
        </w:rPr>
        <w:t xml:space="preserve">. </w:t>
      </w:r>
      <w:r>
        <w:rPr>
          <w:lang w:val="en-US"/>
        </w:rPr>
        <w:t>This</w:t>
      </w:r>
      <w:r>
        <w:t xml:space="preserve"> tells a lot since it reflects the unaccomplished process of destigmatisation and the lack of resistance against the biomedical approach towards mental distress as well as the absence of the grassroots activist initiatives, which in the </w:t>
      </w:r>
      <w:r>
        <w:rPr>
          <w:lang w:val="en-US"/>
        </w:rPr>
        <w:t>W</w:t>
      </w:r>
      <w:r>
        <w:t>estern context challenged the oppressive labeling and brought into existence the notions of service user and survivor of psychiatry. During socialism people with psychiatric diagnoses were denoted usually as „the mentally ill” and those institutionalised in psychiatric facilities were also called “</w:t>
      </w:r>
      <w:r>
        <w:rPr>
          <w:rStyle w:val="Emphasis"/>
          <w:color w:val="0E101A"/>
        </w:rPr>
        <w:t>pitomci</w:t>
      </w:r>
      <w:r>
        <w:t>” (meaning someone who is thoroughly dependent, lacking legal capacity and in need to be constantly cared for</w:t>
      </w:r>
      <w:r>
        <w:rPr>
          <w:lang w:val="en-US"/>
        </w:rPr>
        <w:t>; the same word is used in Bulgarian to refer to one’s pets</w:t>
      </w:r>
      <w:r>
        <w:t>)</w:t>
      </w:r>
      <w:r>
        <w:rPr>
          <w:shd w:val="clear" w:color="auto" w:fill="FFFFFF"/>
          <w:vertAlign w:val="superscript"/>
        </w:rPr>
        <w:endnoteReference w:id="3"/>
      </w:r>
      <w:r>
        <w:rPr>
          <w:shd w:val="clear" w:color="auto" w:fill="FFFFFF"/>
        </w:rPr>
        <w:t xml:space="preserve">. </w:t>
      </w:r>
      <w:r w:rsidRPr="00244A09">
        <w:rPr>
          <w:shd w:val="clear" w:color="auto" w:fill="FFFFFF"/>
          <w:lang w:val="en-US"/>
        </w:rPr>
        <w:t>Due to this local state of affairs, I will use different designations, according to their contextual relevance. Thus I use predominantly “people with psychiatric diagnoses” and „patients” when discussing socialism and the early transition since the context is clearly medicalised, and when speaking of the current more progressive - at least rhetorically - practices, adopted b</w:t>
      </w:r>
      <w:r>
        <w:rPr>
          <w:shd w:val="clear" w:color="auto" w:fill="FFFFFF"/>
          <w:lang w:val="en-US"/>
        </w:rPr>
        <w:t>y some service providers, I</w:t>
      </w:r>
      <w:r w:rsidRPr="00244A09">
        <w:rPr>
          <w:shd w:val="clear" w:color="auto" w:fill="FFFFFF"/>
          <w:lang w:val="en-US"/>
        </w:rPr>
        <w:t xml:space="preserve"> use “service users”.</w:t>
      </w:r>
    </w:p>
    <w:p w:rsidR="00631B5E" w:rsidRDefault="00631B5E" w:rsidP="00AB6393">
      <w:pPr>
        <w:jc w:val="both"/>
        <w:rPr>
          <w:lang w:val="en-US"/>
        </w:rPr>
      </w:pPr>
    </w:p>
    <w:p w:rsidR="00631B5E" w:rsidRDefault="00631B5E" w:rsidP="002D2EB6">
      <w:pPr>
        <w:jc w:val="both"/>
        <w:rPr>
          <w:rFonts w:cstheme="minorHAnsi"/>
          <w:b/>
          <w:color w:val="000000"/>
          <w:lang w:val="en-US"/>
        </w:rPr>
      </w:pPr>
      <w:r>
        <w:rPr>
          <w:rFonts w:cstheme="minorHAnsi"/>
          <w:b/>
          <w:color w:val="000000"/>
          <w:lang w:val="en-US"/>
        </w:rPr>
        <w:t>The p</w:t>
      </w:r>
      <w:r w:rsidRPr="00D64182">
        <w:rPr>
          <w:rFonts w:cstheme="minorHAnsi"/>
          <w:b/>
          <w:color w:val="000000"/>
          <w:lang w:val="en-US"/>
        </w:rPr>
        <w:t>astoral spokespersonship</w:t>
      </w:r>
      <w:r>
        <w:rPr>
          <w:rFonts w:cstheme="minorHAnsi"/>
          <w:b/>
          <w:color w:val="000000"/>
          <w:lang w:val="en-US"/>
        </w:rPr>
        <w:t xml:space="preserve"> of the socialist psychiatric elite </w:t>
      </w:r>
    </w:p>
    <w:p w:rsidR="00631B5E" w:rsidRPr="002D2EB6" w:rsidRDefault="00631B5E" w:rsidP="002D2EB6">
      <w:pPr>
        <w:jc w:val="both"/>
        <w:rPr>
          <w:rFonts w:cstheme="minorHAnsi"/>
          <w:b/>
          <w:color w:val="000000"/>
          <w:lang w:val="en-US"/>
        </w:rPr>
      </w:pPr>
      <w:r w:rsidRPr="002D2EB6">
        <w:rPr>
          <w:rFonts w:cstheme="minorHAnsi"/>
          <w:color w:val="0E101A"/>
        </w:rPr>
        <w:t xml:space="preserve">In this section, I analyse one specific discursive practice of the late socialist psychiatric elite, which I designate as </w:t>
      </w:r>
      <w:r w:rsidRPr="001A4B8F">
        <w:rPr>
          <w:rFonts w:cstheme="minorHAnsi"/>
          <w:i/>
          <w:color w:val="0E101A"/>
        </w:rPr>
        <w:t>pastoral spokespersonship</w:t>
      </w:r>
      <w:r w:rsidRPr="002D2EB6">
        <w:rPr>
          <w:rFonts w:cstheme="minorHAnsi"/>
          <w:color w:val="0E101A"/>
        </w:rPr>
        <w:t xml:space="preserve">. I think that it offers a route to identify one distinct feature of the way the experts framed themselves, their patients, and the kernel of their interrelation. I draw on Foucault’s notion of pastoral power, which resembles the relation of the shepherd caring for the flock, and seeks to lead the individual to salvation (Foucault 1983, 214). I argue that the psychiatrists </w:t>
      </w:r>
      <w:r>
        <w:rPr>
          <w:rFonts w:cstheme="minorHAnsi"/>
          <w:color w:val="0E101A"/>
          <w:lang w:val="en-US"/>
        </w:rPr>
        <w:t>construct</w:t>
      </w:r>
      <w:r w:rsidRPr="002D2EB6">
        <w:rPr>
          <w:rFonts w:cstheme="minorHAnsi"/>
          <w:color w:val="0E101A"/>
        </w:rPr>
        <w:t xml:space="preserve"> quite similar, quasi-religious, pattern, in which they clearly assume the subject position of saviours, of </w:t>
      </w:r>
      <w:r>
        <w:rPr>
          <w:rFonts w:cstheme="minorHAnsi"/>
          <w:color w:val="0E101A"/>
          <w:lang w:val="en-US"/>
        </w:rPr>
        <w:t>guides</w:t>
      </w:r>
      <w:r w:rsidRPr="002D2EB6">
        <w:rPr>
          <w:rFonts w:cstheme="minorHAnsi"/>
          <w:color w:val="0E101A"/>
        </w:rPr>
        <w:t xml:space="preserve"> who will take the patients through the journey of healing, rehabilitation, and resocialisation to their new existence – their post-illness life.</w:t>
      </w:r>
      <w:r>
        <w:rPr>
          <w:rFonts w:cstheme="minorHAnsi"/>
          <w:color w:val="0E101A"/>
          <w:lang w:val="en-US"/>
        </w:rPr>
        <w:t xml:space="preserve"> </w:t>
      </w:r>
      <w:r w:rsidRPr="002D2EB6">
        <w:rPr>
          <w:rFonts w:cstheme="minorHAnsi"/>
          <w:color w:val="0E101A"/>
        </w:rPr>
        <w:t>The thus framed and staged relationship between psychiatrist and patient can legitimately be defined as the professionals’ self-advocacy strategy in a context in which they are fighting for more resources and more capital, both financial and symbolic</w:t>
      </w:r>
      <w:r>
        <w:rPr>
          <w:rStyle w:val="EndnoteReference"/>
          <w:rFonts w:cstheme="minorHAnsi"/>
          <w:color w:val="0E101A"/>
        </w:rPr>
        <w:endnoteReference w:id="4"/>
      </w:r>
      <w:r w:rsidRPr="002D2EB6">
        <w:rPr>
          <w:rFonts w:cstheme="minorHAnsi"/>
          <w:color w:val="0E101A"/>
        </w:rPr>
        <w:t xml:space="preserve">. This is most visible in the literature from the </w:t>
      </w:r>
      <w:r>
        <w:rPr>
          <w:rFonts w:cstheme="minorHAnsi"/>
          <w:color w:val="0E101A"/>
          <w:lang w:val="en-US"/>
        </w:rPr>
        <w:t>end of the</w:t>
      </w:r>
      <w:r w:rsidRPr="002D2EB6">
        <w:rPr>
          <w:rFonts w:cstheme="minorHAnsi"/>
          <w:color w:val="0E101A"/>
        </w:rPr>
        <w:t xml:space="preserve"> 1960s to 1989, and that is why I </w:t>
      </w:r>
      <w:r>
        <w:rPr>
          <w:rFonts w:cstheme="minorHAnsi"/>
          <w:color w:val="0E101A"/>
          <w:lang w:val="en-US"/>
        </w:rPr>
        <w:t>focus here</w:t>
      </w:r>
      <w:r w:rsidRPr="002D2EB6">
        <w:rPr>
          <w:rFonts w:cstheme="minorHAnsi"/>
          <w:color w:val="0E101A"/>
        </w:rPr>
        <w:t xml:space="preserve"> </w:t>
      </w:r>
      <w:r>
        <w:rPr>
          <w:rFonts w:cstheme="minorHAnsi"/>
          <w:color w:val="0E101A"/>
          <w:lang w:val="en-US"/>
        </w:rPr>
        <w:t xml:space="preserve">on </w:t>
      </w:r>
      <w:r w:rsidRPr="002D2EB6">
        <w:rPr>
          <w:rFonts w:cstheme="minorHAnsi"/>
          <w:color w:val="0E101A"/>
        </w:rPr>
        <w:t>this period.</w:t>
      </w:r>
    </w:p>
    <w:p w:rsidR="00631B5E" w:rsidRPr="005D7B3A" w:rsidRDefault="00631B5E" w:rsidP="00AA4A39">
      <w:pPr>
        <w:jc w:val="both"/>
        <w:rPr>
          <w:lang w:val="en-US"/>
        </w:rPr>
      </w:pPr>
      <w:r>
        <w:rPr>
          <w:lang w:val="en-US"/>
        </w:rPr>
        <w:t>The psychiatric system consistently suffered from lack of resources, underfunding, insufficient staff and strong stigma on the part of the general public. That is why the psychiatric elite – although individually its representatives often he</w:t>
      </w:r>
      <w:r w:rsidRPr="003A5B10">
        <w:rPr>
          <w:lang w:val="en-US"/>
        </w:rPr>
        <w:t xml:space="preserve">ld leadership positions </w:t>
      </w:r>
      <w:r>
        <w:rPr>
          <w:lang w:val="en-US"/>
        </w:rPr>
        <w:t>in</w:t>
      </w:r>
      <w:r w:rsidRPr="003A5B10">
        <w:rPr>
          <w:lang w:val="en-US"/>
        </w:rPr>
        <w:t xml:space="preserve"> </w:t>
      </w:r>
      <w:r>
        <w:rPr>
          <w:lang w:val="en-US"/>
        </w:rPr>
        <w:t>the state</w:t>
      </w:r>
      <w:r w:rsidRPr="003A5B10">
        <w:rPr>
          <w:lang w:val="en-US"/>
        </w:rPr>
        <w:t xml:space="preserve"> and party gover</w:t>
      </w:r>
      <w:r>
        <w:rPr>
          <w:lang w:val="en-US"/>
        </w:rPr>
        <w:t>nance</w:t>
      </w:r>
      <w:r w:rsidRPr="003A5B10">
        <w:rPr>
          <w:lang w:val="en-US"/>
        </w:rPr>
        <w:t xml:space="preserve"> </w:t>
      </w:r>
      <w:r>
        <w:rPr>
          <w:lang w:val="en-US"/>
        </w:rPr>
        <w:t xml:space="preserve">– </w:t>
      </w:r>
      <w:r w:rsidRPr="003A5B10">
        <w:rPr>
          <w:lang w:val="en-US"/>
        </w:rPr>
        <w:t>actively search</w:t>
      </w:r>
      <w:r>
        <w:rPr>
          <w:lang w:val="en-US"/>
        </w:rPr>
        <w:t>ed</w:t>
      </w:r>
      <w:r w:rsidRPr="003A5B10">
        <w:rPr>
          <w:lang w:val="en-US"/>
        </w:rPr>
        <w:t xml:space="preserve"> for ways to rise higher in the professional and social hierarchy - to receive more government funding, to be recognized by their colleagues in </w:t>
      </w:r>
      <w:r>
        <w:rPr>
          <w:lang w:val="en-US"/>
        </w:rPr>
        <w:t xml:space="preserve">the </w:t>
      </w:r>
      <w:r w:rsidRPr="003A5B10">
        <w:rPr>
          <w:lang w:val="en-US"/>
        </w:rPr>
        <w:t>somatic medic</w:t>
      </w:r>
      <w:r>
        <w:rPr>
          <w:lang w:val="en-US"/>
        </w:rPr>
        <w:t>al fields (“the somaticists” as they called them)</w:t>
      </w:r>
      <w:r w:rsidRPr="003A5B10">
        <w:rPr>
          <w:lang w:val="en-US"/>
        </w:rPr>
        <w:t>, to stimulate interest in the profession</w:t>
      </w:r>
      <w:r>
        <w:rPr>
          <w:lang w:val="en-US"/>
        </w:rPr>
        <w:t xml:space="preserve"> among the students</w:t>
      </w:r>
      <w:r w:rsidRPr="003A5B10">
        <w:rPr>
          <w:lang w:val="en-US"/>
        </w:rPr>
        <w:t xml:space="preserve">, to </w:t>
      </w:r>
      <w:r w:rsidRPr="003A5B10">
        <w:rPr>
          <w:lang w:val="en-US"/>
        </w:rPr>
        <w:lastRenderedPageBreak/>
        <w:t xml:space="preserve">change </w:t>
      </w:r>
      <w:r>
        <w:rPr>
          <w:lang w:val="en-US"/>
        </w:rPr>
        <w:t xml:space="preserve">the </w:t>
      </w:r>
      <w:r w:rsidRPr="003A5B10">
        <w:rPr>
          <w:lang w:val="en-US"/>
        </w:rPr>
        <w:t xml:space="preserve">negative public attitudes. This can be seen in </w:t>
      </w:r>
      <w:r>
        <w:rPr>
          <w:lang w:val="en-US"/>
        </w:rPr>
        <w:t>many academic texts</w:t>
      </w:r>
      <w:r w:rsidRPr="003A5B10">
        <w:rPr>
          <w:lang w:val="en-US"/>
        </w:rPr>
        <w:t xml:space="preserve"> </w:t>
      </w:r>
      <w:r>
        <w:rPr>
          <w:lang w:val="en-US"/>
        </w:rPr>
        <w:t>(for example, Milev 1972; Todorov 1989; Stankushev 1985)</w:t>
      </w:r>
      <w:r w:rsidRPr="003A5B10">
        <w:rPr>
          <w:lang w:val="en-US"/>
        </w:rPr>
        <w:t xml:space="preserve"> </w:t>
      </w:r>
      <w:r>
        <w:rPr>
          <w:lang w:val="en-US"/>
        </w:rPr>
        <w:t xml:space="preserve">as well as </w:t>
      </w:r>
      <w:r w:rsidRPr="003A5B10">
        <w:rPr>
          <w:lang w:val="en-US"/>
        </w:rPr>
        <w:t>in a number of official program</w:t>
      </w:r>
      <w:r>
        <w:rPr>
          <w:lang w:val="en-US"/>
        </w:rPr>
        <w:t>me</w:t>
      </w:r>
      <w:r w:rsidRPr="003A5B10">
        <w:rPr>
          <w:lang w:val="en-US"/>
        </w:rPr>
        <w:t xml:space="preserve">s </w:t>
      </w:r>
      <w:r>
        <w:rPr>
          <w:lang w:val="en-US"/>
        </w:rPr>
        <w:t xml:space="preserve">as for example the </w:t>
      </w:r>
      <w:r w:rsidRPr="00FB148F">
        <w:rPr>
          <w:rFonts w:ascii="Calibri" w:eastAsia="Calibri" w:hAnsi="Calibri" w:cs="Calibri"/>
          <w:color w:val="000000"/>
          <w:lang w:val="en-US"/>
        </w:rPr>
        <w:t>Programme for Protecting and Improving the Mental Health of the Bulgarian People</w:t>
      </w:r>
      <w:r>
        <w:rPr>
          <w:rFonts w:cstheme="minorHAnsi"/>
          <w:color w:val="000000"/>
          <w:lang w:val="en-US"/>
        </w:rPr>
        <w:t xml:space="preserve"> or the </w:t>
      </w:r>
      <w:r w:rsidRPr="00FB148F">
        <w:rPr>
          <w:rFonts w:ascii="Calibri" w:eastAsia="Calibri" w:hAnsi="Calibri" w:cs="Calibri"/>
          <w:color w:val="000000"/>
          <w:lang w:val="en-US"/>
        </w:rPr>
        <w:t>Guidelines for the Development of Specialized Psychiatric and Neurological Care until 1990</w:t>
      </w:r>
      <w:r w:rsidRPr="00FB148F">
        <w:rPr>
          <w:rFonts w:cstheme="minorHAnsi"/>
          <w:lang w:val="en-US"/>
        </w:rPr>
        <w:t xml:space="preserve">. </w:t>
      </w:r>
    </w:p>
    <w:p w:rsidR="00631B5E" w:rsidRDefault="00631B5E" w:rsidP="00AA4A39">
      <w:pPr>
        <w:jc w:val="both"/>
        <w:rPr>
          <w:color w:val="0E101A"/>
          <w:lang w:val="en-US"/>
        </w:rPr>
      </w:pPr>
      <w:r>
        <w:rPr>
          <w:rFonts w:cstheme="minorHAnsi"/>
          <w:lang w:val="en-US"/>
        </w:rPr>
        <w:t xml:space="preserve">The struggle with the stigma was a central stake in their efforts to </w:t>
      </w:r>
      <w:r>
        <w:rPr>
          <w:rFonts w:cs="Calibri"/>
          <w:lang w:val="en-US"/>
        </w:rPr>
        <w:t>achieve</w:t>
      </w:r>
      <w:r w:rsidRPr="00AA4A39">
        <w:rPr>
          <w:rFonts w:cs="Calibri"/>
        </w:rPr>
        <w:t xml:space="preserve"> desired authority, affirmation, and accumulation of more resources</w:t>
      </w:r>
      <w:r>
        <w:rPr>
          <w:rFonts w:cs="Calibri"/>
          <w:lang w:val="en-US"/>
        </w:rPr>
        <w:t xml:space="preserve">. Psychiatry faced </w:t>
      </w:r>
      <w:r w:rsidRPr="00AA4A39">
        <w:rPr>
          <w:rFonts w:cs="Calibri"/>
        </w:rPr>
        <w:t>a problem tha</w:t>
      </w:r>
      <w:r>
        <w:rPr>
          <w:rFonts w:cs="Calibri"/>
        </w:rPr>
        <w:t>t other medical professionals d</w:t>
      </w:r>
      <w:r>
        <w:rPr>
          <w:rFonts w:cs="Calibri"/>
          <w:lang w:val="en-US"/>
        </w:rPr>
        <w:t>id</w:t>
      </w:r>
      <w:r w:rsidRPr="00AA4A39">
        <w:rPr>
          <w:rFonts w:cs="Calibri"/>
        </w:rPr>
        <w:t xml:space="preserve"> not ha</w:t>
      </w:r>
      <w:r>
        <w:rPr>
          <w:rFonts w:cs="Calibri"/>
        </w:rPr>
        <w:t>ve</w:t>
      </w:r>
      <w:r>
        <w:rPr>
          <w:rFonts w:cs="Calibri"/>
          <w:lang w:val="en-US"/>
        </w:rPr>
        <w:t>, namely</w:t>
      </w:r>
      <w:r>
        <w:rPr>
          <w:rFonts w:cs="Calibri"/>
        </w:rPr>
        <w:t xml:space="preserve"> the rejection and stigmatis</w:t>
      </w:r>
      <w:r w:rsidRPr="00AA4A39">
        <w:rPr>
          <w:rFonts w:cs="Calibri"/>
        </w:rPr>
        <w:t xml:space="preserve">ation toward their patients and hence </w:t>
      </w:r>
      <w:r w:rsidRPr="002252D1">
        <w:rPr>
          <w:rFonts w:cs="Calibri"/>
          <w:i/>
        </w:rPr>
        <w:t>toward the psychiatric system itself</w:t>
      </w:r>
      <w:r>
        <w:rPr>
          <w:rFonts w:cs="Calibri"/>
          <w:lang w:val="en-US"/>
        </w:rPr>
        <w:t xml:space="preserve">. </w:t>
      </w:r>
      <w:r w:rsidRPr="00AA4A39">
        <w:rPr>
          <w:rFonts w:cs="Calibri"/>
        </w:rPr>
        <w:t xml:space="preserve">In the 1980s, when there was already a </w:t>
      </w:r>
      <w:r>
        <w:rPr>
          <w:rFonts w:cs="Calibri"/>
        </w:rPr>
        <w:t>visible attention to</w:t>
      </w:r>
      <w:r w:rsidRPr="00AA4A39">
        <w:rPr>
          <w:rFonts w:cs="Calibri"/>
        </w:rPr>
        <w:t xml:space="preserve"> the existence of a stron</w:t>
      </w:r>
      <w:r>
        <w:rPr>
          <w:rFonts w:cs="Calibri"/>
        </w:rPr>
        <w:t>g stigmati</w:t>
      </w:r>
      <w:r>
        <w:rPr>
          <w:rFonts w:cs="Calibri"/>
          <w:lang w:val="en-US"/>
        </w:rPr>
        <w:t>s</w:t>
      </w:r>
      <w:r w:rsidRPr="00AA4A39">
        <w:rPr>
          <w:rFonts w:cs="Calibri"/>
        </w:rPr>
        <w:t xml:space="preserve">ing attitude towards </w:t>
      </w:r>
      <w:r>
        <w:rPr>
          <w:rFonts w:cs="Calibri"/>
          <w:lang w:val="en-US"/>
        </w:rPr>
        <w:t>“</w:t>
      </w:r>
      <w:r w:rsidRPr="00AA4A39">
        <w:rPr>
          <w:rFonts w:cs="Calibri"/>
        </w:rPr>
        <w:t>the mentally ill</w:t>
      </w:r>
      <w:r>
        <w:rPr>
          <w:rFonts w:cs="Calibri"/>
          <w:lang w:val="en-US"/>
        </w:rPr>
        <w:t>”</w:t>
      </w:r>
      <w:r w:rsidRPr="00AA4A39">
        <w:rPr>
          <w:rFonts w:cs="Calibri"/>
        </w:rPr>
        <w:t>, it was clearly framed as a factor that actually worsens the situation of psychiatrists themselves and vice versa - their marginal p</w:t>
      </w:r>
      <w:r>
        <w:rPr>
          <w:rFonts w:cs="Calibri"/>
        </w:rPr>
        <w:t xml:space="preserve">osition </w:t>
      </w:r>
      <w:r>
        <w:rPr>
          <w:rFonts w:cs="Calibri"/>
          <w:lang w:val="en-US"/>
        </w:rPr>
        <w:t>and lack of resources deepens</w:t>
      </w:r>
      <w:r w:rsidRPr="00AA4A39">
        <w:rPr>
          <w:rFonts w:cs="Calibri"/>
        </w:rPr>
        <w:t xml:space="preserve"> the stigma </w:t>
      </w:r>
      <w:r>
        <w:rPr>
          <w:rFonts w:cs="Calibri"/>
          <w:lang w:val="en-US"/>
        </w:rPr>
        <w:t>also</w:t>
      </w:r>
      <w:r>
        <w:rPr>
          <w:rFonts w:cs="Calibri"/>
        </w:rPr>
        <w:t xml:space="preserve"> to </w:t>
      </w:r>
      <w:r>
        <w:rPr>
          <w:rFonts w:cs="Calibri"/>
          <w:lang w:val="en-US"/>
        </w:rPr>
        <w:t xml:space="preserve">the </w:t>
      </w:r>
      <w:r>
        <w:rPr>
          <w:rFonts w:cs="Calibri"/>
        </w:rPr>
        <w:t>patients (</w:t>
      </w:r>
      <w:r w:rsidRPr="00AA4A39">
        <w:rPr>
          <w:rFonts w:cs="Calibri"/>
        </w:rPr>
        <w:t xml:space="preserve">Todorov 1989, 220). </w:t>
      </w:r>
      <w:r>
        <w:rPr>
          <w:lang w:val="en-US"/>
        </w:rPr>
        <w:t>T</w:t>
      </w:r>
      <w:r>
        <w:t xml:space="preserve">he stigma </w:t>
      </w:r>
      <w:r>
        <w:rPr>
          <w:rFonts w:cstheme="minorHAnsi"/>
          <w:lang w:val="en-US"/>
        </w:rPr>
        <w:t xml:space="preserve">was </w:t>
      </w:r>
      <w:r>
        <w:rPr>
          <w:rFonts w:cstheme="minorHAnsi"/>
        </w:rPr>
        <w:t>so strong that it</w:t>
      </w:r>
      <w:r w:rsidRPr="00CD6B15">
        <w:rPr>
          <w:rFonts w:cstheme="minorHAnsi"/>
        </w:rPr>
        <w:t xml:space="preserve"> engul</w:t>
      </w:r>
      <w:r>
        <w:t>fed the psychiatrists themselves</w:t>
      </w:r>
      <w:r>
        <w:rPr>
          <w:lang w:val="en-US"/>
        </w:rPr>
        <w:t xml:space="preserve"> and turned into a shared one </w:t>
      </w:r>
      <w:r>
        <w:t>(</w:t>
      </w:r>
      <w:r>
        <w:rPr>
          <w:lang w:val="en-US"/>
        </w:rPr>
        <w:t xml:space="preserve">or </w:t>
      </w:r>
      <w:r>
        <w:t>stigma by association</w:t>
      </w:r>
      <w:r w:rsidRPr="00CD6B15">
        <w:rPr>
          <w:rFonts w:ascii="Calibri" w:eastAsia="Calibri" w:hAnsi="Calibri" w:cs="Calibri"/>
          <w:lang w:val="en-US"/>
        </w:rPr>
        <w:t xml:space="preserve"> (Spandle</w:t>
      </w:r>
      <w:r>
        <w:rPr>
          <w:rFonts w:cstheme="minorHAnsi"/>
          <w:lang w:val="en-US"/>
        </w:rPr>
        <w:t>r, Anderson and Sapey 2015,</w:t>
      </w:r>
      <w:r w:rsidRPr="00CD6B15">
        <w:rPr>
          <w:rFonts w:ascii="Calibri" w:eastAsia="Calibri" w:hAnsi="Calibri" w:cs="Calibri"/>
          <w:lang w:val="en-US"/>
        </w:rPr>
        <w:t xml:space="preserve"> 71-72)</w:t>
      </w:r>
      <w:r w:rsidRPr="00CD6B15">
        <w:rPr>
          <w:rFonts w:cstheme="minorHAnsi"/>
        </w:rPr>
        <w:t>)</w:t>
      </w:r>
      <w:r>
        <w:rPr>
          <w:rFonts w:cstheme="minorHAnsi"/>
          <w:lang w:val="en-US"/>
        </w:rPr>
        <w:t xml:space="preserve">. This peculiar situation made them </w:t>
      </w:r>
      <w:r>
        <w:rPr>
          <w:color w:val="0E101A"/>
          <w:lang w:val="en-US"/>
        </w:rPr>
        <w:t xml:space="preserve">assume </w:t>
      </w:r>
      <w:r>
        <w:rPr>
          <w:color w:val="0E101A"/>
        </w:rPr>
        <w:t xml:space="preserve">the role of spokespersons for </w:t>
      </w:r>
      <w:r>
        <w:rPr>
          <w:color w:val="0E101A"/>
          <w:lang w:val="en-US"/>
        </w:rPr>
        <w:t>their patients</w:t>
      </w:r>
      <w:r>
        <w:rPr>
          <w:color w:val="0E101A"/>
        </w:rPr>
        <w:t xml:space="preserve"> </w:t>
      </w:r>
      <w:r>
        <w:rPr>
          <w:color w:val="0E101A"/>
          <w:lang w:val="en-US"/>
        </w:rPr>
        <w:t>and incorporate</w:t>
      </w:r>
      <w:r>
        <w:rPr>
          <w:color w:val="0E101A"/>
        </w:rPr>
        <w:t xml:space="preserve"> </w:t>
      </w:r>
      <w:r>
        <w:rPr>
          <w:color w:val="0E101A"/>
          <w:lang w:val="en-US"/>
        </w:rPr>
        <w:t>in</w:t>
      </w:r>
      <w:r>
        <w:rPr>
          <w:color w:val="0E101A"/>
        </w:rPr>
        <w:t xml:space="preserve"> their repertoire the image of a specific </w:t>
      </w:r>
      <w:r w:rsidRPr="001C5754">
        <w:rPr>
          <w:i/>
          <w:color w:val="0E101A"/>
        </w:rPr>
        <w:t>collective destiny</w:t>
      </w:r>
      <w:r>
        <w:rPr>
          <w:color w:val="0E101A"/>
          <w:lang w:val="en-US"/>
        </w:rPr>
        <w:t xml:space="preserve">: both professionals and patients </w:t>
      </w:r>
      <w:r w:rsidRPr="001C5754">
        <w:rPr>
          <w:rStyle w:val="Emphasis"/>
          <w:i w:val="0"/>
          <w:color w:val="0E101A"/>
          <w:lang w:val="en-US"/>
        </w:rPr>
        <w:t>were</w:t>
      </w:r>
      <w:r>
        <w:rPr>
          <w:color w:val="0E101A"/>
        </w:rPr>
        <w:t xml:space="preserve"> despised and rejected by society, but psychiatrists - their pastors - must </w:t>
      </w:r>
      <w:r>
        <w:rPr>
          <w:color w:val="0E101A"/>
          <w:lang w:val="en-US"/>
        </w:rPr>
        <w:t>take on</w:t>
      </w:r>
      <w:r>
        <w:rPr>
          <w:color w:val="0E101A"/>
        </w:rPr>
        <w:t xml:space="preserve"> the role of the "fathers" who will lead them to a new life. </w:t>
      </w:r>
      <w:r>
        <w:rPr>
          <w:color w:val="0E101A"/>
          <w:lang w:val="en-US"/>
        </w:rPr>
        <w:t>This imagery takes quite literal visual forms:</w:t>
      </w:r>
      <w:r>
        <w:rPr>
          <w:color w:val="0E101A"/>
        </w:rPr>
        <w:t xml:space="preserve"> on the cover of Todor Stankushev’s book „</w:t>
      </w:r>
      <w:r>
        <w:rPr>
          <w:color w:val="0E101A"/>
          <w:lang w:val="en-US"/>
        </w:rPr>
        <w:t>Essays</w:t>
      </w:r>
      <w:r>
        <w:rPr>
          <w:color w:val="0E101A"/>
        </w:rPr>
        <w:t xml:space="preserve"> of the psychiatrist” there is an imitation of Michelangelo's</w:t>
      </w:r>
      <w:r>
        <w:rPr>
          <w:color w:val="0E101A"/>
          <w:lang w:val="en-US"/>
        </w:rPr>
        <w:t xml:space="preserve"> </w:t>
      </w:r>
      <w:r>
        <w:rPr>
          <w:rStyle w:val="Emphasis"/>
          <w:color w:val="0E101A"/>
        </w:rPr>
        <w:t>Creation of Adam</w:t>
      </w:r>
      <w:r>
        <w:rPr>
          <w:color w:val="0E101A"/>
          <w:lang w:val="en-US"/>
        </w:rPr>
        <w:t xml:space="preserve"> </w:t>
      </w:r>
      <w:r>
        <w:rPr>
          <w:color w:val="0E101A"/>
        </w:rPr>
        <w:t xml:space="preserve">where the psychiatrist’s hand (adorned with a white medical cuff) meets the hand of the patient whose stretched fingers (conveying tension and suffering) reach out to touch the gracefully open and awaiting palm of the professional. Another </w:t>
      </w:r>
      <w:r>
        <w:rPr>
          <w:color w:val="0E101A"/>
          <w:lang w:val="en-US"/>
        </w:rPr>
        <w:t>quite telling example</w:t>
      </w:r>
      <w:r>
        <w:rPr>
          <w:color w:val="0E101A"/>
        </w:rPr>
        <w:t xml:space="preserve"> is </w:t>
      </w:r>
      <w:r>
        <w:rPr>
          <w:color w:val="0E101A"/>
          <w:lang w:val="en-US"/>
        </w:rPr>
        <w:t>the insistence of</w:t>
      </w:r>
      <w:r>
        <w:rPr>
          <w:color w:val="0E101A"/>
        </w:rPr>
        <w:t xml:space="preserve"> Nikola Shipkovensky </w:t>
      </w:r>
      <w:r>
        <w:rPr>
          <w:color w:val="0E101A"/>
          <w:lang w:val="en-US"/>
        </w:rPr>
        <w:t xml:space="preserve">to replace </w:t>
      </w:r>
      <w:r>
        <w:rPr>
          <w:color w:val="0E101A"/>
        </w:rPr>
        <w:t>the standard interview with the patient (called at that time also „interrogation” (</w:t>
      </w:r>
      <w:r>
        <w:rPr>
          <w:rStyle w:val="Emphasis"/>
          <w:color w:val="0E101A"/>
        </w:rPr>
        <w:t>razpit</w:t>
      </w:r>
      <w:r>
        <w:rPr>
          <w:color w:val="0E101A"/>
        </w:rPr>
        <w:t xml:space="preserve">)) </w:t>
      </w:r>
      <w:r>
        <w:rPr>
          <w:color w:val="0E101A"/>
          <w:lang w:val="en-US"/>
        </w:rPr>
        <w:t>with</w:t>
      </w:r>
      <w:r>
        <w:rPr>
          <w:color w:val="0E101A"/>
        </w:rPr>
        <w:t xml:space="preserve"> much more deep-going “written confession” (Shipkovensky 1974, 392).</w:t>
      </w:r>
      <w:r>
        <w:rPr>
          <w:color w:val="0E101A"/>
          <w:lang w:val="en-US"/>
        </w:rPr>
        <w:t xml:space="preserve"> </w:t>
      </w:r>
    </w:p>
    <w:p w:rsidR="00631B5E" w:rsidRDefault="00631B5E" w:rsidP="003718F0">
      <w:pPr>
        <w:pStyle w:val="Body"/>
        <w:jc w:val="both"/>
      </w:pPr>
      <w:r>
        <w:rPr>
          <w:color w:val="0E101A"/>
        </w:rPr>
        <w:t xml:space="preserve">Exactly in the way of handling patients’ stories and voices we can </w:t>
      </w:r>
      <w:r w:rsidRPr="004134BE">
        <w:rPr>
          <w:color w:val="0E101A"/>
        </w:rPr>
        <w:t>discern another feature of the pastoral power – the pastor should exercise „a precise and meticulous accounting of the actions of each and all of his charges in order to assure their salvation”</w:t>
      </w:r>
      <w:r>
        <w:rPr>
          <w:color w:val="0E101A"/>
        </w:rPr>
        <w:t>,</w:t>
      </w:r>
      <w:r w:rsidRPr="004134BE">
        <w:rPr>
          <w:color w:val="0E101A"/>
        </w:rPr>
        <w:t xml:space="preserve"> </w:t>
      </w:r>
      <w:r>
        <w:rPr>
          <w:color w:val="0E101A"/>
        </w:rPr>
        <w:t xml:space="preserve">which is the ground also of achieving truth and obedience on the part of the flock </w:t>
      </w:r>
      <w:r w:rsidRPr="004134BE">
        <w:rPr>
          <w:color w:val="0E101A"/>
        </w:rPr>
        <w:t>(</w:t>
      </w:r>
      <w:r>
        <w:rPr>
          <w:color w:val="0E101A"/>
        </w:rPr>
        <w:t>Golder 2007, 167</w:t>
      </w:r>
      <w:r w:rsidRPr="004134BE">
        <w:rPr>
          <w:color w:val="0E101A"/>
        </w:rPr>
        <w:t>)</w:t>
      </w:r>
      <w:r>
        <w:rPr>
          <w:color w:val="0E101A"/>
        </w:rPr>
        <w:t>.</w:t>
      </w:r>
      <w:r w:rsidRPr="004134BE">
        <w:rPr>
          <w:color w:val="0E101A"/>
        </w:rPr>
        <w:t xml:space="preserve"> </w:t>
      </w:r>
      <w:r>
        <w:rPr>
          <w:color w:val="0E101A"/>
        </w:rPr>
        <w:t>T</w:t>
      </w:r>
      <w:r w:rsidRPr="004134BE">
        <w:rPr>
          <w:color w:val="0E101A"/>
        </w:rPr>
        <w:t>he psychiatric case p</w:t>
      </w:r>
      <w:r>
        <w:rPr>
          <w:color w:val="0E101A"/>
        </w:rPr>
        <w:t xml:space="preserve">resentations </w:t>
      </w:r>
      <w:r w:rsidRPr="00F32C9F">
        <w:rPr>
          <w:rFonts w:cstheme="minorHAnsi"/>
          <w:color w:val="0E101A"/>
        </w:rPr>
        <w:t xml:space="preserve">and case histories that are lavishly available in the textbooks, manuals, and monographs of the socialist period stay very close to this description of the pastoral </w:t>
      </w:r>
      <w:r w:rsidRPr="00F32C9F">
        <w:rPr>
          <w:rFonts w:cstheme="minorHAnsi"/>
        </w:rPr>
        <w:t>“art of conducting, directing, leading, guiding, taking in hand” (Foucault 2007, 165).</w:t>
      </w:r>
      <w:r>
        <w:rPr>
          <w:rFonts w:cstheme="minorHAnsi"/>
          <w:color w:val="0E101A"/>
        </w:rPr>
        <w:t xml:space="preserve"> </w:t>
      </w:r>
      <w:r w:rsidRPr="004134BE">
        <w:rPr>
          <w:color w:val="0E101A"/>
        </w:rPr>
        <w:t>The guidelines for gathering information from the patient explicitly required the voice of the patient to be strictly followed and kept as verbatim as possible and the professional to refrain from interpretation and rephrasing (Temkov 1978). Obviously, this practice was accepted as the official standard for conducting the psychiatric interview since it is followed in all textbooks, diagnostic manuals, and many of th</w:t>
      </w:r>
      <w:r>
        <w:rPr>
          <w:color w:val="0E101A"/>
        </w:rPr>
        <w:t>e monographs I reviewed (Zaimov 1971; Boyadzhieva, Achkova and</w:t>
      </w:r>
      <w:r w:rsidRPr="004134BE">
        <w:rPr>
          <w:color w:val="0E101A"/>
        </w:rPr>
        <w:t xml:space="preserve"> Todorov 1988; Mile</w:t>
      </w:r>
      <w:r>
        <w:rPr>
          <w:color w:val="0E101A"/>
        </w:rPr>
        <w:t>nkov and Popov 1983; Stankushev</w:t>
      </w:r>
      <w:r w:rsidRPr="004134BE">
        <w:rPr>
          <w:color w:val="0E101A"/>
        </w:rPr>
        <w:t xml:space="preserve"> 1982, 1985; Kokoshkarova 1984; Hristozov 1980; Temkov, Ivanov and Tashev 1973; Temkov 1978; Achkova 1981). </w:t>
      </w:r>
      <w:r w:rsidRPr="004F1F11">
        <w:rPr>
          <w:color w:val="242021"/>
          <w:u w:color="242021"/>
        </w:rPr>
        <w:t>In these accounts, the psychiatric voice is frequently punctuated by, sometimes, quite lengthy first-person accounts of the clients. They stand out through the use of lower-case letters, denoting the verbatim presentation of their experiences and reflections. Dots are used to mark pauses of the speech and sometimes the observations of the professional are inserted in brackets, based on their notes taken during the interviews. The narrative also includes descriptions of the emotional states, the specific modulations of the voice or the bodily movements. The descriptions of the so-called “psychotic production of the clients”, their own reflections on these “productions” and the emotions which they provoke are meticulously presented. A vivid illustration is the article dedicated to a remarkable psychiatric client treated during socialism, who was officially diagnosed with sch</w:t>
      </w:r>
      <w:r>
        <w:rPr>
          <w:color w:val="242021"/>
          <w:u w:color="242021"/>
        </w:rPr>
        <w:t>izophrenia. He dubbed himself „T</w:t>
      </w:r>
      <w:r w:rsidRPr="004F1F11">
        <w:rPr>
          <w:color w:val="242021"/>
          <w:u w:color="242021"/>
        </w:rPr>
        <w:t xml:space="preserve">he white lion” and created his own alphabet, as well as many neologisms capturing the very rich and unusual delusional content (Uzunoff et Zaimov </w:t>
      </w:r>
      <w:r w:rsidRPr="004F1F11">
        <w:rPr>
          <w:color w:val="242021"/>
          <w:u w:color="242021"/>
        </w:rPr>
        <w:lastRenderedPageBreak/>
        <w:t xml:space="preserve">1972). His drawings and the alphabet are also present in the article. </w:t>
      </w:r>
      <w:r w:rsidRPr="009F68E0">
        <w:t>Another illustration is the monograph of Dimitar Pantaleev „Schizophrenia and literary creativity” from 1994 (it is published after the demise of the regime but the case histories are gathered before 1989 and his psychiatric practice and career takes place predominantly in this period). The book practically documents the literary works of some of his clients and the author explicitly assumes the role of a spokesperson whose vocation is to preserve the traces of their voices (Pant</w:t>
      </w:r>
      <w:r>
        <w:t>a</w:t>
      </w:r>
      <w:r w:rsidRPr="009F68E0">
        <w:t>leev 1994)</w:t>
      </w:r>
      <w:r>
        <w:t>. Quite similar is the style of narrating the patient stories in the already mentioned Stankushev’s “Essays of the psychiatrist”.</w:t>
      </w:r>
    </w:p>
    <w:p w:rsidR="00631B5E" w:rsidRDefault="00631B5E" w:rsidP="00B833BC">
      <w:pPr>
        <w:pStyle w:val="Body"/>
        <w:jc w:val="both"/>
        <w:rPr>
          <w:color w:val="0E101A"/>
        </w:rPr>
      </w:pPr>
      <w:r>
        <w:t xml:space="preserve">This typical way of narrative staging of the relationship between patient and professional is certainly influenced </w:t>
      </w:r>
      <w:r w:rsidRPr="004134BE">
        <w:rPr>
          <w:color w:val="0E101A"/>
        </w:rPr>
        <w:t xml:space="preserve">by the </w:t>
      </w:r>
      <w:r>
        <w:rPr>
          <w:color w:val="0E101A"/>
        </w:rPr>
        <w:t xml:space="preserve">general </w:t>
      </w:r>
      <w:r w:rsidRPr="004134BE">
        <w:rPr>
          <w:color w:val="0E101A"/>
        </w:rPr>
        <w:t xml:space="preserve">requirement </w:t>
      </w:r>
      <w:r>
        <w:rPr>
          <w:color w:val="0E101A"/>
        </w:rPr>
        <w:t xml:space="preserve">the psychiatric practice </w:t>
      </w:r>
      <w:r w:rsidRPr="004134BE">
        <w:rPr>
          <w:color w:val="0E101A"/>
        </w:rPr>
        <w:t xml:space="preserve">to be as scientific and naturalist as possible due to the socialist </w:t>
      </w:r>
      <w:r>
        <w:rPr>
          <w:color w:val="0E101A"/>
        </w:rPr>
        <w:t>cult</w:t>
      </w:r>
      <w:r w:rsidRPr="004134BE">
        <w:rPr>
          <w:color w:val="0E101A"/>
        </w:rPr>
        <w:t xml:space="preserve"> </w:t>
      </w:r>
      <w:r>
        <w:rPr>
          <w:color w:val="0E101A"/>
        </w:rPr>
        <w:t>towards</w:t>
      </w:r>
      <w:r w:rsidRPr="004134BE">
        <w:rPr>
          <w:color w:val="0E101A"/>
        </w:rPr>
        <w:t xml:space="preserve"> rigorous scientific method applied to all spheres</w:t>
      </w:r>
      <w:r>
        <w:rPr>
          <w:color w:val="0E101A"/>
        </w:rPr>
        <w:t>. The preserved voices of the patients were conceived as the “hard data” of the psychiatric practice that ensure its scientific validity. I</w:t>
      </w:r>
      <w:r w:rsidRPr="004134BE">
        <w:rPr>
          <w:color w:val="0E101A"/>
        </w:rPr>
        <w:t xml:space="preserve">n the self-presentations of </w:t>
      </w:r>
      <w:r>
        <w:rPr>
          <w:color w:val="0E101A"/>
        </w:rPr>
        <w:t xml:space="preserve">the </w:t>
      </w:r>
      <w:r w:rsidRPr="004134BE">
        <w:rPr>
          <w:color w:val="0E101A"/>
        </w:rPr>
        <w:t>psychiatrists</w:t>
      </w:r>
      <w:r>
        <w:rPr>
          <w:color w:val="0E101A"/>
        </w:rPr>
        <w:t xml:space="preserve"> themselves</w:t>
      </w:r>
      <w:r w:rsidRPr="004134BE">
        <w:rPr>
          <w:color w:val="0E101A"/>
        </w:rPr>
        <w:t xml:space="preserve">, </w:t>
      </w:r>
      <w:r>
        <w:rPr>
          <w:color w:val="0E101A"/>
        </w:rPr>
        <w:t>however, this ritual</w:t>
      </w:r>
      <w:r w:rsidRPr="004134BE">
        <w:rPr>
          <w:color w:val="0E101A"/>
        </w:rPr>
        <w:t xml:space="preserve"> </w:t>
      </w:r>
      <w:r>
        <w:rPr>
          <w:color w:val="0E101A"/>
        </w:rPr>
        <w:t xml:space="preserve">of preserving voices </w:t>
      </w:r>
      <w:r w:rsidRPr="004134BE">
        <w:rPr>
          <w:color w:val="0E101A"/>
        </w:rPr>
        <w:t xml:space="preserve">was </w:t>
      </w:r>
      <w:r>
        <w:rPr>
          <w:color w:val="0E101A"/>
        </w:rPr>
        <w:t>interpreted</w:t>
      </w:r>
      <w:r w:rsidRPr="004134BE">
        <w:rPr>
          <w:color w:val="0E101A"/>
        </w:rPr>
        <w:t xml:space="preserve"> </w:t>
      </w:r>
      <w:r>
        <w:rPr>
          <w:color w:val="0E101A"/>
        </w:rPr>
        <w:t>as</w:t>
      </w:r>
      <w:r w:rsidRPr="004134BE">
        <w:rPr>
          <w:color w:val="0E101A"/>
        </w:rPr>
        <w:t xml:space="preserve"> an aspect of their vocation </w:t>
      </w:r>
      <w:r>
        <w:rPr>
          <w:color w:val="0E101A"/>
        </w:rPr>
        <w:t xml:space="preserve">and as </w:t>
      </w:r>
      <w:r w:rsidRPr="004134BE">
        <w:rPr>
          <w:color w:val="0E101A"/>
        </w:rPr>
        <w:t>expressi</w:t>
      </w:r>
      <w:r>
        <w:rPr>
          <w:color w:val="0E101A"/>
        </w:rPr>
        <w:t>on</w:t>
      </w:r>
      <w:r w:rsidRPr="004134BE">
        <w:rPr>
          <w:color w:val="0E101A"/>
        </w:rPr>
        <w:t xml:space="preserve"> </w:t>
      </w:r>
      <w:r>
        <w:rPr>
          <w:color w:val="0E101A"/>
        </w:rPr>
        <w:t xml:space="preserve">of </w:t>
      </w:r>
      <w:r w:rsidRPr="004134BE">
        <w:rPr>
          <w:color w:val="0E101A"/>
        </w:rPr>
        <w:t>their gratitude and shared destiny with the</w:t>
      </w:r>
      <w:r>
        <w:rPr>
          <w:color w:val="0E101A"/>
        </w:rPr>
        <w:t>ir</w:t>
      </w:r>
      <w:r w:rsidRPr="004134BE">
        <w:rPr>
          <w:color w:val="0E101A"/>
        </w:rPr>
        <w:t xml:space="preserve"> patients. </w:t>
      </w:r>
      <w:r>
        <w:rPr>
          <w:color w:val="0E101A"/>
        </w:rPr>
        <w:t>They explicitly</w:t>
      </w:r>
      <w:r w:rsidRPr="004134BE">
        <w:rPr>
          <w:color w:val="0E101A"/>
        </w:rPr>
        <w:t xml:space="preserve"> assumed the </w:t>
      </w:r>
      <w:r>
        <w:rPr>
          <w:color w:val="0E101A"/>
        </w:rPr>
        <w:t xml:space="preserve">paternalistic </w:t>
      </w:r>
      <w:r w:rsidRPr="004134BE">
        <w:rPr>
          <w:color w:val="0E101A"/>
        </w:rPr>
        <w:t>ro</w:t>
      </w:r>
      <w:r>
        <w:rPr>
          <w:color w:val="0E101A"/>
        </w:rPr>
        <w:t>le of collectors of stories and keepers of „curiosities”, preserved as textual specimens.</w:t>
      </w:r>
    </w:p>
    <w:p w:rsidR="00631B5E" w:rsidRPr="00E657E1" w:rsidRDefault="00631B5E" w:rsidP="004134BE">
      <w:pPr>
        <w:jc w:val="both"/>
        <w:rPr>
          <w:rFonts w:cstheme="minorHAnsi"/>
          <w:color w:val="0E101A"/>
          <w:lang w:val="en-US"/>
        </w:rPr>
      </w:pPr>
      <w:r w:rsidRPr="004134BE">
        <w:rPr>
          <w:color w:val="0E101A"/>
          <w:lang w:val="en-US"/>
        </w:rPr>
        <w:t xml:space="preserve">It could be </w:t>
      </w:r>
      <w:r>
        <w:rPr>
          <w:color w:val="0E101A"/>
          <w:lang w:val="en-US"/>
        </w:rPr>
        <w:t>concluded</w:t>
      </w:r>
      <w:r w:rsidRPr="004134BE">
        <w:rPr>
          <w:color w:val="0E101A"/>
          <w:lang w:val="en-US"/>
        </w:rPr>
        <w:t xml:space="preserve"> that the socialist pastoral spokespersonship enacted and affirmed a strong paternalistic core. The psychiatrists mobilised the imagery of </w:t>
      </w:r>
      <w:r>
        <w:rPr>
          <w:color w:val="0E101A"/>
          <w:lang w:val="en-US"/>
        </w:rPr>
        <w:t xml:space="preserve">a dedicated </w:t>
      </w:r>
      <w:r w:rsidRPr="004134BE">
        <w:rPr>
          <w:color w:val="0E101A"/>
          <w:lang w:val="en-US"/>
        </w:rPr>
        <w:t>fatherly care</w:t>
      </w:r>
      <w:r>
        <w:rPr>
          <w:color w:val="0E101A"/>
          <w:lang w:val="en-US"/>
        </w:rPr>
        <w:t xml:space="preserve"> to</w:t>
      </w:r>
      <w:r w:rsidRPr="004134BE">
        <w:rPr>
          <w:color w:val="0E101A"/>
          <w:lang w:val="en-US"/>
        </w:rPr>
        <w:t xml:space="preserve"> </w:t>
      </w:r>
      <w:r>
        <w:rPr>
          <w:color w:val="0E101A"/>
          <w:lang w:val="en-US"/>
        </w:rPr>
        <w:t>which, however, idea that the patients have autonomy is totally alien</w:t>
      </w:r>
      <w:r w:rsidRPr="004134BE">
        <w:rPr>
          <w:color w:val="0E101A"/>
          <w:lang w:val="en-US"/>
        </w:rPr>
        <w:t xml:space="preserve">. </w:t>
      </w:r>
      <w:r>
        <w:rPr>
          <w:color w:val="0E101A"/>
          <w:lang w:val="en-US"/>
        </w:rPr>
        <w:t>Metaphorically speaking, they</w:t>
      </w:r>
      <w:r w:rsidRPr="004134BE">
        <w:rPr>
          <w:color w:val="0E101A"/>
          <w:lang w:val="en-US"/>
        </w:rPr>
        <w:t xml:space="preserve"> </w:t>
      </w:r>
      <w:r>
        <w:rPr>
          <w:color w:val="0E101A"/>
          <w:lang w:val="en-US"/>
        </w:rPr>
        <w:t xml:space="preserve">benevolently </w:t>
      </w:r>
      <w:r w:rsidRPr="004134BE">
        <w:rPr>
          <w:color w:val="0E101A"/>
          <w:lang w:val="en-US"/>
        </w:rPr>
        <w:t>took the patients in their lifeboat which had to move their professional field upwards in t</w:t>
      </w:r>
      <w:r>
        <w:rPr>
          <w:color w:val="0E101A"/>
          <w:lang w:val="en-US"/>
        </w:rPr>
        <w:t>he social and medical hierarchy, and additionally framed this relation as authentic allyship.</w:t>
      </w:r>
      <w:r w:rsidRPr="004134BE">
        <w:rPr>
          <w:color w:val="0E101A"/>
          <w:lang w:val="en-US"/>
        </w:rPr>
        <w:t xml:space="preserve"> They continued to use this lifeboat </w:t>
      </w:r>
      <w:r>
        <w:rPr>
          <w:color w:val="0E101A"/>
          <w:lang w:val="en-US"/>
        </w:rPr>
        <w:t>after the demise of the regime</w:t>
      </w:r>
      <w:r w:rsidRPr="004134BE">
        <w:rPr>
          <w:color w:val="0E101A"/>
          <w:lang w:val="en-US"/>
        </w:rPr>
        <w:t xml:space="preserve"> but had to redesign it in order to fit the new political reality.</w:t>
      </w:r>
    </w:p>
    <w:p w:rsidR="00631B5E" w:rsidRDefault="00631B5E" w:rsidP="004134BE">
      <w:pPr>
        <w:jc w:val="both"/>
        <w:rPr>
          <w:b/>
          <w:lang w:val="en-US"/>
        </w:rPr>
      </w:pPr>
    </w:p>
    <w:p w:rsidR="00631B5E" w:rsidRPr="003276B8" w:rsidRDefault="00631B5E" w:rsidP="00AA26E5">
      <w:pPr>
        <w:jc w:val="both"/>
        <w:rPr>
          <w:b/>
          <w:lang w:val="en-US"/>
        </w:rPr>
      </w:pPr>
      <w:r w:rsidRPr="003276B8">
        <w:rPr>
          <w:b/>
          <w:lang w:val="en-US"/>
        </w:rPr>
        <w:t>The liberating spokespersonship</w:t>
      </w:r>
      <w:r w:rsidRPr="003276B8">
        <w:rPr>
          <w:b/>
        </w:rPr>
        <w:t xml:space="preserve"> </w:t>
      </w:r>
      <w:r>
        <w:rPr>
          <w:b/>
          <w:lang w:val="en-US"/>
        </w:rPr>
        <w:t>of the psychiatric reformers</w:t>
      </w:r>
    </w:p>
    <w:p w:rsidR="00631B5E" w:rsidRPr="005A1962" w:rsidRDefault="00631B5E" w:rsidP="005A1962">
      <w:pPr>
        <w:jc w:val="both"/>
        <w:rPr>
          <w:lang w:val="en-US"/>
        </w:rPr>
      </w:pPr>
      <w:r w:rsidRPr="005A1962">
        <w:rPr>
          <w:lang w:val="en-US"/>
        </w:rPr>
        <w:t>In 1992 the Bulgarian Psychiatric Association (BPA) was established with the explicit aim to „overcome the totalitarian legacy and to introduce and implement the international standards and norms, regulating the relations between psychiatry and society as well as in psychiatry itself” (</w:t>
      </w:r>
      <w:r>
        <w:rPr>
          <w:lang w:val="en-US"/>
        </w:rPr>
        <w:t>BPA</w:t>
      </w:r>
      <w:r w:rsidRPr="005A1962">
        <w:rPr>
          <w:lang w:val="en-US"/>
        </w:rPr>
        <w:t xml:space="preserve"> 1992, 10). One of the key tasks in this respect was „to еmancipate psychiatry from its image as an institution of total control over individual mental life” (</w:t>
      </w:r>
      <w:r>
        <w:rPr>
          <w:lang w:val="en-US"/>
        </w:rPr>
        <w:t>BPA 1997a,</w:t>
      </w:r>
      <w:r w:rsidRPr="005A1962">
        <w:rPr>
          <w:lang w:val="en-US"/>
        </w:rPr>
        <w:t xml:space="preserve"> 38-39). </w:t>
      </w:r>
    </w:p>
    <w:p w:rsidR="00631B5E" w:rsidRDefault="00631B5E" w:rsidP="005A1962">
      <w:pPr>
        <w:jc w:val="both"/>
        <w:rPr>
          <w:lang w:val="en-US"/>
        </w:rPr>
      </w:pPr>
      <w:r w:rsidRPr="005A1962">
        <w:rPr>
          <w:lang w:val="en-US"/>
        </w:rPr>
        <w:t>Its activities were mainly supported by the Geneva Initiative on Psychiatry (and to a lesser extent by Open Society Foundation). The origin of the Geneva Initiative are directly related to the struggle against political abuse of psychiatry in USSR: “The International Association on the Political Use of Psychiatry (IAPUP) was set up in Paris in December 1980 as a confederation of national groups who were involved in the campaign against the political abuse of psychiatry</w:t>
      </w:r>
      <w:r>
        <w:rPr>
          <w:lang w:val="en-US"/>
        </w:rPr>
        <w:t xml:space="preserve"> [</w:t>
      </w:r>
      <w:r w:rsidRPr="005A1962">
        <w:rPr>
          <w:lang w:val="en-US"/>
        </w:rPr>
        <w:t>…</w:t>
      </w:r>
      <w:r>
        <w:rPr>
          <w:lang w:val="en-US"/>
        </w:rPr>
        <w:t>].</w:t>
      </w:r>
      <w:r w:rsidRPr="005A1962">
        <w:rPr>
          <w:lang w:val="en-US"/>
        </w:rPr>
        <w:t xml:space="preserve"> Since, the name changed into Geneva Initiative on Psychiatry and, in 2005, Global Initiative on Psychiatry (GIP)” (van Voren 2010). The organisation describes its activities in the following way:</w:t>
      </w:r>
    </w:p>
    <w:p w:rsidR="00631B5E" w:rsidRDefault="00631B5E" w:rsidP="00317880">
      <w:pPr>
        <w:pStyle w:val="Body"/>
        <w:ind w:left="709"/>
        <w:jc w:val="both"/>
      </w:pPr>
      <w:r>
        <w:rPr>
          <w:shd w:val="clear" w:color="auto" w:fill="FFFFFF"/>
        </w:rPr>
        <w:t>Initially we focused our work exclusively on Central &amp; Eastern Europe and the former Soviet Union. We started with small projects, setting up psychiatric associations, associations of psychiatric nurses, family organizations and eventually also consumer organizations. We trained mental health professionals, established day care programs and gradually a new approach to mental health care provision was developed: an approach that focused on trying to keep people in the community as much as possible.</w:t>
      </w:r>
      <w:r>
        <w:rPr>
          <w:rStyle w:val="EndnoteReference"/>
          <w:shd w:val="clear" w:color="auto" w:fill="FFFFFF"/>
        </w:rPr>
        <w:endnoteReference w:id="5"/>
      </w:r>
    </w:p>
    <w:p w:rsidR="00631B5E" w:rsidRPr="005A1962" w:rsidRDefault="00631B5E" w:rsidP="005A1962">
      <w:pPr>
        <w:jc w:val="both"/>
        <w:rPr>
          <w:lang w:val="en-US"/>
        </w:rPr>
      </w:pPr>
      <w:r w:rsidRPr="005A1962">
        <w:rPr>
          <w:lang w:val="en-US"/>
        </w:rPr>
        <w:lastRenderedPageBreak/>
        <w:t>BPA assumed the public image and position of the main professional organisation, which took the responsibility to conduct radical reform of the system, based on respect of human</w:t>
      </w:r>
      <w:r>
        <w:rPr>
          <w:lang w:val="en-US"/>
        </w:rPr>
        <w:t xml:space="preserve"> rights, dignity, and autonomy,</w:t>
      </w:r>
      <w:r w:rsidRPr="005A1962">
        <w:rPr>
          <w:lang w:val="en-US"/>
        </w:rPr>
        <w:t xml:space="preserve"> and powerfully </w:t>
      </w:r>
      <w:r>
        <w:rPr>
          <w:lang w:val="en-US"/>
        </w:rPr>
        <w:t xml:space="preserve">to </w:t>
      </w:r>
      <w:r w:rsidRPr="005A1962">
        <w:rPr>
          <w:lang w:val="en-US"/>
        </w:rPr>
        <w:t>counteract the paternalistic pattern, inherited from socialism. Thus the Association positioned itself as the key social agent in the first years of the transition</w:t>
      </w:r>
      <w:r>
        <w:rPr>
          <w:lang w:val="en-US"/>
        </w:rPr>
        <w:t xml:space="preserve"> that</w:t>
      </w:r>
      <w:r w:rsidRPr="005A1962">
        <w:rPr>
          <w:lang w:val="en-US"/>
        </w:rPr>
        <w:t xml:space="preserve"> should play the role of the vehicle of the Western, progressive, humanistic value</w:t>
      </w:r>
      <w:r>
        <w:rPr>
          <w:lang w:val="en-US"/>
        </w:rPr>
        <w:t>s, and perform the</w:t>
      </w:r>
      <w:r w:rsidRPr="005A1962">
        <w:rPr>
          <w:lang w:val="en-US"/>
        </w:rPr>
        <w:t xml:space="preserve"> passage from the harmful paternali</w:t>
      </w:r>
      <w:r>
        <w:rPr>
          <w:lang w:val="en-US"/>
        </w:rPr>
        <w:t xml:space="preserve">stic legacy of socialism to the </w:t>
      </w:r>
      <w:r w:rsidRPr="005A1962">
        <w:rPr>
          <w:lang w:val="en-US"/>
        </w:rPr>
        <w:t>liberation in the mental health field. It is quite revealing that the main guides during this ritual – or in other words, the most active and prominent figures, governing the Association – were in fact psychiatrists deeply entrenched in the socialist system and having key positions in the state administration before 1989.</w:t>
      </w:r>
    </w:p>
    <w:p w:rsidR="00631B5E" w:rsidRDefault="00631B5E" w:rsidP="005A1962">
      <w:pPr>
        <w:jc w:val="both"/>
        <w:rPr>
          <w:lang w:val="en-US"/>
        </w:rPr>
      </w:pPr>
      <w:r w:rsidRPr="005A1962">
        <w:rPr>
          <w:lang w:val="en-US"/>
        </w:rPr>
        <w:t xml:space="preserve">Perhaps this is among the reasons why the socialist paternalistic positioning of psychiatrists as devoted spokespersons, struggling for the interests of the weak and suffering patients, was restaged in the new setting. It was even further </w:t>
      </w:r>
      <w:r>
        <w:rPr>
          <w:lang w:val="en-US"/>
        </w:rPr>
        <w:t xml:space="preserve">expanded and </w:t>
      </w:r>
      <w:r w:rsidRPr="005A1962">
        <w:rPr>
          <w:lang w:val="en-US"/>
        </w:rPr>
        <w:t xml:space="preserve">normalised, since now advocacy and </w:t>
      </w:r>
      <w:r>
        <w:rPr>
          <w:lang w:val="en-US"/>
        </w:rPr>
        <w:t>empowerment</w:t>
      </w:r>
      <w:r w:rsidRPr="005A1962">
        <w:rPr>
          <w:lang w:val="en-US"/>
        </w:rPr>
        <w:t xml:space="preserve"> of marginalised groups was conceived as an act, obligatory for building the new democratic society and for dispelling the socialist legacy. In other words, now advocacy </w:t>
      </w:r>
      <w:r>
        <w:rPr>
          <w:lang w:val="en-US"/>
        </w:rPr>
        <w:t>become a key sign of progressiveness</w:t>
      </w:r>
      <w:r w:rsidRPr="005A1962">
        <w:rPr>
          <w:lang w:val="en-US"/>
        </w:rPr>
        <w:t>. The short programmatic brochure</w:t>
      </w:r>
      <w:r>
        <w:rPr>
          <w:lang w:val="en-US"/>
        </w:rPr>
        <w:t xml:space="preserve"> of BPA</w:t>
      </w:r>
      <w:r w:rsidRPr="005A1962">
        <w:rPr>
          <w:lang w:val="en-US"/>
        </w:rPr>
        <w:t xml:space="preserve"> – something like a manifesto of the reform – is called exactly „Towards the liberation of mental health” (BPA 1993). </w:t>
      </w:r>
      <w:r>
        <w:rPr>
          <w:lang w:val="en-US"/>
        </w:rPr>
        <w:t>Indicative is the fact that the stakes of the “liberation”</w:t>
      </w:r>
      <w:r w:rsidRPr="005A1962">
        <w:rPr>
          <w:lang w:val="en-US"/>
        </w:rPr>
        <w:t xml:space="preserve"> </w:t>
      </w:r>
      <w:r>
        <w:rPr>
          <w:lang w:val="en-US"/>
        </w:rPr>
        <w:t>left</w:t>
      </w:r>
      <w:r w:rsidRPr="005A1962">
        <w:rPr>
          <w:lang w:val="en-US"/>
        </w:rPr>
        <w:t xml:space="preserve"> the confines of the profession</w:t>
      </w:r>
      <w:r>
        <w:rPr>
          <w:lang w:val="en-US"/>
        </w:rPr>
        <w:t>: psychiatrists</w:t>
      </w:r>
      <w:r w:rsidRPr="005A1962">
        <w:rPr>
          <w:lang w:val="en-US"/>
        </w:rPr>
        <w:t xml:space="preserve"> </w:t>
      </w:r>
      <w:r>
        <w:rPr>
          <w:lang w:val="en-US"/>
        </w:rPr>
        <w:t>took on the task</w:t>
      </w:r>
      <w:r w:rsidRPr="005A1962">
        <w:rPr>
          <w:lang w:val="en-US"/>
        </w:rPr>
        <w:t xml:space="preserve"> </w:t>
      </w:r>
      <w:r>
        <w:rPr>
          <w:lang w:val="en-US"/>
        </w:rPr>
        <w:t xml:space="preserve">to </w:t>
      </w:r>
      <w:r w:rsidRPr="005A1962">
        <w:rPr>
          <w:lang w:val="en-US"/>
        </w:rPr>
        <w:t>"facilitat</w:t>
      </w:r>
      <w:r>
        <w:rPr>
          <w:lang w:val="en-US"/>
        </w:rPr>
        <w:t>e</w:t>
      </w:r>
      <w:r w:rsidRPr="005A1962">
        <w:rPr>
          <w:lang w:val="en-US"/>
        </w:rPr>
        <w:t xml:space="preserve"> </w:t>
      </w:r>
      <w:r>
        <w:rPr>
          <w:lang w:val="en-US"/>
        </w:rPr>
        <w:t xml:space="preserve">people’s </w:t>
      </w:r>
      <w:r w:rsidRPr="005A1962">
        <w:rPr>
          <w:lang w:val="en-US"/>
        </w:rPr>
        <w:t>minds to reject the burden of paternalistic indoctr</w:t>
      </w:r>
      <w:r>
        <w:rPr>
          <w:lang w:val="en-US"/>
        </w:rPr>
        <w:t>ination</w:t>
      </w:r>
      <w:r w:rsidRPr="005A1962">
        <w:rPr>
          <w:lang w:val="en-US"/>
        </w:rPr>
        <w:t>, and enable the societal transition to autonomous mental lifе</w:t>
      </w:r>
      <w:r>
        <w:t>”</w:t>
      </w:r>
      <w:r w:rsidRPr="005A1962">
        <w:rPr>
          <w:lang w:val="en-US"/>
        </w:rPr>
        <w:t xml:space="preserve"> (</w:t>
      </w:r>
      <w:r>
        <w:rPr>
          <w:lang w:val="en-US"/>
        </w:rPr>
        <w:t xml:space="preserve">BPA 1993, </w:t>
      </w:r>
      <w:r w:rsidRPr="005A1962">
        <w:rPr>
          <w:lang w:val="en-US"/>
        </w:rPr>
        <w:t>35).</w:t>
      </w:r>
    </w:p>
    <w:p w:rsidR="00631B5E" w:rsidRPr="005948BD" w:rsidRDefault="00631B5E" w:rsidP="005948BD">
      <w:pPr>
        <w:jc w:val="both"/>
        <w:rPr>
          <w:lang w:val="en-US"/>
        </w:rPr>
      </w:pPr>
      <w:r>
        <w:rPr>
          <w:lang w:val="en-US"/>
        </w:rPr>
        <w:t>Accordingly, important</w:t>
      </w:r>
      <w:r w:rsidRPr="005948BD">
        <w:rPr>
          <w:lang w:val="en-US"/>
        </w:rPr>
        <w:t xml:space="preserve"> differences in the spokespersonship's pattern</w:t>
      </w:r>
      <w:r>
        <w:rPr>
          <w:lang w:val="en-US"/>
        </w:rPr>
        <w:t xml:space="preserve"> emerged</w:t>
      </w:r>
      <w:r w:rsidRPr="005948BD">
        <w:rPr>
          <w:lang w:val="en-US"/>
        </w:rPr>
        <w:t>. Now professionals were not the benevolent "fathers" leading to the new resocialised after-illness life</w:t>
      </w:r>
      <w:r>
        <w:rPr>
          <w:lang w:val="en-US"/>
        </w:rPr>
        <w:t>,</w:t>
      </w:r>
      <w:r w:rsidRPr="005948BD">
        <w:rPr>
          <w:lang w:val="en-US"/>
        </w:rPr>
        <w:t xml:space="preserve"> but liberators, who openly uptake the mission of advocacy in the name of the inherent human dignity of their patients </w:t>
      </w:r>
      <w:r>
        <w:rPr>
          <w:lang w:val="en-US"/>
        </w:rPr>
        <w:t>-</w:t>
      </w:r>
      <w:r w:rsidRPr="005948BD">
        <w:rPr>
          <w:lang w:val="en-US"/>
        </w:rPr>
        <w:t xml:space="preserve"> harshly neglected and compromised during socialism. As they stated: “it is our professional duty to be their advocates [since] they are one the most disadvantaged, difficult to adapt and unprotected groups in </w:t>
      </w:r>
      <w:r>
        <w:rPr>
          <w:lang w:val="en-US"/>
        </w:rPr>
        <w:t xml:space="preserve">our </w:t>
      </w:r>
      <w:r w:rsidRPr="005948BD">
        <w:rPr>
          <w:lang w:val="en-US"/>
        </w:rPr>
        <w:t>society” (BPA 1997</w:t>
      </w:r>
      <w:r>
        <w:rPr>
          <w:lang w:val="en-US"/>
        </w:rPr>
        <w:t>a</w:t>
      </w:r>
      <w:r w:rsidRPr="005948BD">
        <w:rPr>
          <w:lang w:val="en-US"/>
        </w:rPr>
        <w:t xml:space="preserve">, 39). </w:t>
      </w:r>
      <w:r>
        <w:rPr>
          <w:lang w:val="en-US"/>
        </w:rPr>
        <w:t>Even t</w:t>
      </w:r>
      <w:r w:rsidRPr="005948BD">
        <w:rPr>
          <w:lang w:val="en-US"/>
        </w:rPr>
        <w:t xml:space="preserve">he psychiatric treatment </w:t>
      </w:r>
      <w:r>
        <w:rPr>
          <w:lang w:val="en-US"/>
        </w:rPr>
        <w:t xml:space="preserve">itself </w:t>
      </w:r>
      <w:r w:rsidRPr="005948BD">
        <w:rPr>
          <w:lang w:val="en-US"/>
        </w:rPr>
        <w:t xml:space="preserve">was framed as essentially coupled with liberation from oppression: „Empowering the patient is a key component of the therapeutic task” (BPA </w:t>
      </w:r>
      <w:r>
        <w:rPr>
          <w:lang w:val="en-US"/>
        </w:rPr>
        <w:t xml:space="preserve">1993, </w:t>
      </w:r>
      <w:r w:rsidRPr="005948BD">
        <w:rPr>
          <w:lang w:val="en-US"/>
        </w:rPr>
        <w:t>20).</w:t>
      </w:r>
    </w:p>
    <w:p w:rsidR="00631B5E" w:rsidRPr="005948BD" w:rsidRDefault="00631B5E" w:rsidP="005948BD">
      <w:pPr>
        <w:jc w:val="both"/>
        <w:rPr>
          <w:lang w:val="en-US"/>
        </w:rPr>
      </w:pPr>
      <w:r w:rsidRPr="005948BD">
        <w:rPr>
          <w:lang w:val="en-US"/>
        </w:rPr>
        <w:t xml:space="preserve">But the imagery of </w:t>
      </w:r>
      <w:r>
        <w:rPr>
          <w:lang w:val="en-US"/>
        </w:rPr>
        <w:t xml:space="preserve">a shared destiny of rejection and the ensuing from it </w:t>
      </w:r>
      <w:r w:rsidRPr="005948BD">
        <w:rPr>
          <w:lang w:val="en-US"/>
        </w:rPr>
        <w:t>collective interests of professionals and patients</w:t>
      </w:r>
      <w:r>
        <w:rPr>
          <w:lang w:val="en-US"/>
        </w:rPr>
        <w:t xml:space="preserve"> was</w:t>
      </w:r>
      <w:r w:rsidRPr="005948BD">
        <w:rPr>
          <w:lang w:val="en-US"/>
        </w:rPr>
        <w:t xml:space="preserve"> still very alive. In his address to BPA as the newly elected cha</w:t>
      </w:r>
      <w:r>
        <w:rPr>
          <w:lang w:val="en-US"/>
        </w:rPr>
        <w:t>irman in 1994, Toma Tomov stated</w:t>
      </w:r>
      <w:r w:rsidRPr="005948BD">
        <w:rPr>
          <w:lang w:val="en-US"/>
        </w:rPr>
        <w:t xml:space="preserve">: „The primitive definition </w:t>
      </w:r>
      <w:r>
        <w:rPr>
          <w:lang w:val="en-US"/>
        </w:rPr>
        <w:t>adopted by</w:t>
      </w:r>
      <w:r w:rsidRPr="005948BD">
        <w:rPr>
          <w:lang w:val="en-US"/>
        </w:rPr>
        <w:t xml:space="preserve"> society, the state, and the politicians in our country of mental health and the professions associated with it, determines the tendency to marginalise both the mentally ill and the psychiatrists… and makes those in power blind an</w:t>
      </w:r>
      <w:r>
        <w:rPr>
          <w:lang w:val="en-US"/>
        </w:rPr>
        <w:t>d deaf to our voices of concern</w:t>
      </w:r>
      <w:r w:rsidRPr="005948BD">
        <w:rPr>
          <w:lang w:val="en-US"/>
        </w:rPr>
        <w:t>” (</w:t>
      </w:r>
      <w:r>
        <w:rPr>
          <w:lang w:val="en-US"/>
        </w:rPr>
        <w:t>BPA</w:t>
      </w:r>
      <w:r w:rsidRPr="005948BD">
        <w:rPr>
          <w:lang w:val="en-US"/>
        </w:rPr>
        <w:t xml:space="preserve"> 1994, 9). In contrast to the late socialist years when the reason for the strong stigma was seen in the backwardness of the public, which could not conceive in a purely scientific way mental illness as an illness </w:t>
      </w:r>
      <w:r w:rsidRPr="0071683A">
        <w:rPr>
          <w:i/>
          <w:lang w:val="en-US"/>
        </w:rPr>
        <w:t>per se</w:t>
      </w:r>
      <w:r>
        <w:rPr>
          <w:i/>
          <w:lang w:val="en-US"/>
        </w:rPr>
        <w:t>,</w:t>
      </w:r>
      <w:r w:rsidRPr="005948BD">
        <w:rPr>
          <w:lang w:val="en-US"/>
        </w:rPr>
        <w:t xml:space="preserve"> now the roots of this attitude were additionally to be identified in the primitive “Balkan mentality”. Together with socialism, this </w:t>
      </w:r>
      <w:r>
        <w:rPr>
          <w:lang w:val="en-US"/>
        </w:rPr>
        <w:t>local</w:t>
      </w:r>
      <w:r w:rsidRPr="005948BD">
        <w:rPr>
          <w:lang w:val="en-US"/>
        </w:rPr>
        <w:t xml:space="preserve"> primitiveness is to be dispelled if Bulgarians are to become part of the progressive and democratic world: „Bulgarian statesmen are preoccupied with physical survival of the nation and show no concern for mental health. This reveals a deficiency view of human nature held by decision-makers, which is typical of Balkan thinking and which </w:t>
      </w:r>
      <w:r>
        <w:rPr>
          <w:lang w:val="en-US"/>
        </w:rPr>
        <w:t>dooms</w:t>
      </w:r>
      <w:r w:rsidRPr="005948BD">
        <w:rPr>
          <w:lang w:val="en-US"/>
        </w:rPr>
        <w:t xml:space="preserve"> good intentions to failure” (BPA </w:t>
      </w:r>
      <w:r>
        <w:rPr>
          <w:lang w:val="en-US"/>
        </w:rPr>
        <w:t xml:space="preserve">1993, </w:t>
      </w:r>
      <w:r w:rsidRPr="005948BD">
        <w:rPr>
          <w:lang w:val="en-US"/>
        </w:rPr>
        <w:t xml:space="preserve">6). As </w:t>
      </w:r>
      <w:r>
        <w:rPr>
          <w:lang w:val="en-US"/>
        </w:rPr>
        <w:t>under</w:t>
      </w:r>
      <w:r w:rsidRPr="005948BD">
        <w:rPr>
          <w:lang w:val="en-US"/>
        </w:rPr>
        <w:t xml:space="preserve"> socialism, the public is also declared guilty – then for the stigmatizing attitudes, now additionally for the withdrawal from active civil position: "Bulgarians are well aware of the misery of the psychiatric services, of the burnout there, of the discrimination against the mental health sector. And no Bulgarian yet has ever stood up for psychiatry" (BPA </w:t>
      </w:r>
      <w:r>
        <w:rPr>
          <w:lang w:val="en-US"/>
        </w:rPr>
        <w:t xml:space="preserve">1993, </w:t>
      </w:r>
      <w:r w:rsidRPr="005948BD">
        <w:rPr>
          <w:lang w:val="en-US"/>
        </w:rPr>
        <w:t>27).</w:t>
      </w:r>
    </w:p>
    <w:p w:rsidR="00631B5E" w:rsidRPr="005948BD" w:rsidRDefault="00631B5E" w:rsidP="005948BD">
      <w:pPr>
        <w:jc w:val="both"/>
        <w:rPr>
          <w:lang w:val="en-US"/>
        </w:rPr>
      </w:pPr>
      <w:r w:rsidRPr="005948BD">
        <w:rPr>
          <w:lang w:val="en-US"/>
        </w:rPr>
        <w:t xml:space="preserve">Three years later the message that patients and psychiatrists are in this struggle together is still one of the key framing strategies: „Psychiatry and mental health are repudiated by the elites in </w:t>
      </w:r>
      <w:r w:rsidRPr="005948BD">
        <w:rPr>
          <w:lang w:val="en-US"/>
        </w:rPr>
        <w:lastRenderedPageBreak/>
        <w:t>Bulgaria... [there is urgent necessity] to end discrimination, neglect, and rejection of the mentally ill and psychiatry, an integral feature of public policy for decades” (</w:t>
      </w:r>
      <w:r>
        <w:rPr>
          <w:lang w:val="en-US"/>
        </w:rPr>
        <w:t xml:space="preserve">BPA </w:t>
      </w:r>
      <w:r w:rsidRPr="005948BD">
        <w:rPr>
          <w:lang w:val="en-US"/>
        </w:rPr>
        <w:t>1997</w:t>
      </w:r>
      <w:r>
        <w:rPr>
          <w:lang w:val="en-US"/>
        </w:rPr>
        <w:t>b</w:t>
      </w:r>
      <w:r w:rsidRPr="005948BD">
        <w:rPr>
          <w:lang w:val="en-US"/>
        </w:rPr>
        <w:t xml:space="preserve">, </w:t>
      </w:r>
      <w:r>
        <w:rPr>
          <w:lang w:val="en-US"/>
        </w:rPr>
        <w:t>21-22</w:t>
      </w:r>
      <w:r w:rsidRPr="005948BD">
        <w:rPr>
          <w:lang w:val="en-US"/>
        </w:rPr>
        <w:t xml:space="preserve">). </w:t>
      </w:r>
    </w:p>
    <w:p w:rsidR="00631B5E" w:rsidRDefault="00631B5E" w:rsidP="005948BD">
      <w:pPr>
        <w:jc w:val="both"/>
        <w:rPr>
          <w:lang w:val="en-US"/>
        </w:rPr>
      </w:pPr>
      <w:r w:rsidRPr="005948BD">
        <w:rPr>
          <w:lang w:val="en-US"/>
        </w:rPr>
        <w:t xml:space="preserve">But the repertoire of the reformers </w:t>
      </w:r>
      <w:r>
        <w:rPr>
          <w:lang w:val="en-US"/>
        </w:rPr>
        <w:t>recruits</w:t>
      </w:r>
      <w:r w:rsidRPr="005948BD">
        <w:rPr>
          <w:lang w:val="en-US"/>
        </w:rPr>
        <w:t xml:space="preserve"> even more allies and, respectively, </w:t>
      </w:r>
      <w:r>
        <w:rPr>
          <w:lang w:val="en-US"/>
        </w:rPr>
        <w:t>constructs</w:t>
      </w:r>
      <w:r w:rsidRPr="005948BD">
        <w:rPr>
          <w:lang w:val="en-US"/>
        </w:rPr>
        <w:t xml:space="preserve"> the image of new foes besides the shared stigma and the insufficient resources, allocated by the state. </w:t>
      </w:r>
      <w:r>
        <w:rPr>
          <w:lang w:val="en-US"/>
        </w:rPr>
        <w:t>One of the key allies to be officially recruited and recuperated is psychoanalysis</w:t>
      </w:r>
      <w:r w:rsidRPr="005948BD">
        <w:rPr>
          <w:lang w:val="en-US"/>
        </w:rPr>
        <w:t>: „in Bulgaria, the ethics of paternalism (typical of the social arrangements of slavery, patriarchy, totalitarianism, etc.) has a long history and is rooted deeply</w:t>
      </w:r>
      <w:r>
        <w:rPr>
          <w:lang w:val="en-US"/>
        </w:rPr>
        <w:t xml:space="preserve"> [</w:t>
      </w:r>
      <w:r w:rsidRPr="005948BD">
        <w:rPr>
          <w:lang w:val="en-US"/>
        </w:rPr>
        <w:t>…</w:t>
      </w:r>
      <w:r>
        <w:rPr>
          <w:lang w:val="en-US"/>
        </w:rPr>
        <w:t>].</w:t>
      </w:r>
      <w:r w:rsidRPr="005948BD">
        <w:rPr>
          <w:lang w:val="en-US"/>
        </w:rPr>
        <w:t xml:space="preserve"> In this culture, democratic views penetrate slowly</w:t>
      </w:r>
      <w:r>
        <w:rPr>
          <w:lang w:val="en-US"/>
        </w:rPr>
        <w:t xml:space="preserve"> [</w:t>
      </w:r>
      <w:r w:rsidRPr="005948BD">
        <w:rPr>
          <w:lang w:val="en-US"/>
        </w:rPr>
        <w:t>…</w:t>
      </w:r>
      <w:r>
        <w:rPr>
          <w:lang w:val="en-US"/>
        </w:rPr>
        <w:t xml:space="preserve">]. </w:t>
      </w:r>
      <w:r w:rsidRPr="005948BD">
        <w:rPr>
          <w:lang w:val="en-US"/>
        </w:rPr>
        <w:t>The ethics of paternalism is passed down through the upbringing and education of children. Its carriers are not aware of the fact that they profess it or that they could resist i</w:t>
      </w:r>
      <w:r>
        <w:rPr>
          <w:lang w:val="en-US"/>
        </w:rPr>
        <w:t>t.</w:t>
      </w:r>
      <w:r w:rsidRPr="005948BD">
        <w:rPr>
          <w:lang w:val="en-US"/>
        </w:rPr>
        <w:t xml:space="preserve"> In such a sense, it is </w:t>
      </w:r>
      <w:r>
        <w:rPr>
          <w:lang w:val="en-US"/>
        </w:rPr>
        <w:t>in the realm of the unconscious […]</w:t>
      </w:r>
      <w:r w:rsidRPr="005948BD">
        <w:rPr>
          <w:lang w:val="en-US"/>
        </w:rPr>
        <w:t xml:space="preserve"> which </w:t>
      </w:r>
      <w:r>
        <w:rPr>
          <w:lang w:val="en-US"/>
        </w:rPr>
        <w:t xml:space="preserve">until recently </w:t>
      </w:r>
      <w:r w:rsidRPr="005948BD">
        <w:rPr>
          <w:lang w:val="en-US"/>
        </w:rPr>
        <w:t>was declared out of bounds</w:t>
      </w:r>
      <w:r>
        <w:rPr>
          <w:lang w:val="en-US"/>
        </w:rPr>
        <w:t>.</w:t>
      </w:r>
      <w:r w:rsidRPr="005948BD">
        <w:rPr>
          <w:lang w:val="en-US"/>
        </w:rPr>
        <w:t xml:space="preserve"> The ethics of paternalism </w:t>
      </w:r>
      <w:r>
        <w:rPr>
          <w:lang w:val="en-US"/>
        </w:rPr>
        <w:t xml:space="preserve">outlawed </w:t>
      </w:r>
      <w:r w:rsidRPr="005948BD">
        <w:rPr>
          <w:lang w:val="en-US"/>
        </w:rPr>
        <w:t xml:space="preserve">the unconscious and bred helplessness” (BPA </w:t>
      </w:r>
      <w:r>
        <w:rPr>
          <w:lang w:val="en-US"/>
        </w:rPr>
        <w:t xml:space="preserve">1993, </w:t>
      </w:r>
      <w:r w:rsidRPr="005948BD">
        <w:rPr>
          <w:lang w:val="en-US"/>
        </w:rPr>
        <w:t xml:space="preserve">12). </w:t>
      </w:r>
    </w:p>
    <w:p w:rsidR="00631B5E" w:rsidRPr="00DB1F2C" w:rsidRDefault="00631B5E" w:rsidP="005948BD">
      <w:pPr>
        <w:jc w:val="both"/>
        <w:rPr>
          <w:lang w:val="en-US"/>
        </w:rPr>
      </w:pPr>
      <w:r>
        <w:rPr>
          <w:lang w:val="en-US"/>
        </w:rPr>
        <w:t xml:space="preserve">This is an expected move since key figures among the reformers were interested in carving rhetorical and institutional space for the psychodynamic approaches and related psychotherapies, denounced during socialism. Now, these approaches became part of the progressive and enlightened assemblage, endowed with the mission to liberate the minds of the patients, and of the general public. </w:t>
      </w:r>
    </w:p>
    <w:p w:rsidR="00631B5E" w:rsidRDefault="00631B5E" w:rsidP="00C07A3D">
      <w:pPr>
        <w:jc w:val="both"/>
        <w:rPr>
          <w:lang w:val="en-US"/>
        </w:rPr>
      </w:pPr>
      <w:r w:rsidRPr="00FD3736">
        <w:rPr>
          <w:lang w:val="en-US"/>
        </w:rPr>
        <w:t xml:space="preserve">It should be noted that </w:t>
      </w:r>
      <w:r>
        <w:rPr>
          <w:lang w:val="en-US"/>
        </w:rPr>
        <w:t xml:space="preserve">there were voices, speaking </w:t>
      </w:r>
      <w:r w:rsidRPr="00FD3736">
        <w:rPr>
          <w:lang w:val="en-US"/>
        </w:rPr>
        <w:t>against this officially proclaimed reforming zeal</w:t>
      </w:r>
      <w:r>
        <w:rPr>
          <w:lang w:val="en-US"/>
        </w:rPr>
        <w:t>. Some professionals</w:t>
      </w:r>
      <w:r w:rsidRPr="00FD3736">
        <w:rPr>
          <w:lang w:val="en-US"/>
        </w:rPr>
        <w:t xml:space="preserve"> were not </w:t>
      </w:r>
      <w:r>
        <w:rPr>
          <w:lang w:val="en-US"/>
        </w:rPr>
        <w:t>as eager to embrace the new “progressive values”</w:t>
      </w:r>
      <w:r w:rsidRPr="00FD3736">
        <w:rPr>
          <w:lang w:val="en-US"/>
        </w:rPr>
        <w:t>. Consider this clear expression of doubt in the local applicability of the requirement of informed consent before treatment: "Psychiatric treatment is permitted only after patient's informed consent</w:t>
      </w:r>
      <w:r>
        <w:rPr>
          <w:lang w:val="en-US"/>
        </w:rPr>
        <w:t xml:space="preserve"> [in the Declaration of Hawaii]</w:t>
      </w:r>
      <w:r w:rsidRPr="00FD3736">
        <w:rPr>
          <w:lang w:val="en-US"/>
        </w:rPr>
        <w:t xml:space="preserve">? Are we mature enough to </w:t>
      </w:r>
      <w:r>
        <w:rPr>
          <w:lang w:val="en-US"/>
        </w:rPr>
        <w:t xml:space="preserve">really </w:t>
      </w:r>
      <w:r w:rsidRPr="00FD3736">
        <w:rPr>
          <w:lang w:val="en-US"/>
        </w:rPr>
        <w:t xml:space="preserve">embrace that?" (Velinov 1995, 17). Another eminent figure, Georgi Onchev, expresses a similar </w:t>
      </w:r>
      <w:r>
        <w:rPr>
          <w:lang w:val="en-US"/>
        </w:rPr>
        <w:t xml:space="preserve">attitude, saying in 1999, that </w:t>
      </w:r>
    </w:p>
    <w:p w:rsidR="00631B5E" w:rsidRDefault="00631B5E" w:rsidP="00C36391">
      <w:pPr>
        <w:ind w:left="567" w:right="567"/>
        <w:jc w:val="both"/>
        <w:rPr>
          <w:lang w:val="en-US"/>
        </w:rPr>
      </w:pPr>
      <w:r w:rsidRPr="00FD3736">
        <w:rPr>
          <w:lang w:val="en-US"/>
        </w:rPr>
        <w:t>the local context is marked by deeply entrenched patriarchal sentiments, which find expression in the lack of a concept of personal autonomy</w:t>
      </w:r>
      <w:r>
        <w:rPr>
          <w:lang w:val="en-US"/>
        </w:rPr>
        <w:t xml:space="preserve"> [</w:t>
      </w:r>
      <w:r w:rsidRPr="00FD3736">
        <w:rPr>
          <w:lang w:val="en-US"/>
        </w:rPr>
        <w:t>…</w:t>
      </w:r>
      <w:r>
        <w:rPr>
          <w:lang w:val="en-US"/>
        </w:rPr>
        <w:t>].</w:t>
      </w:r>
      <w:r w:rsidRPr="00FD3736">
        <w:rPr>
          <w:lang w:val="en-US"/>
        </w:rPr>
        <w:t xml:space="preserve"> The whole psychiatric ethics is based on this but it is a product of </w:t>
      </w:r>
      <w:r>
        <w:rPr>
          <w:lang w:val="en-US"/>
        </w:rPr>
        <w:t>the Western civilization.</w:t>
      </w:r>
      <w:r w:rsidRPr="00FD3736">
        <w:rPr>
          <w:lang w:val="en-US"/>
        </w:rPr>
        <w:t xml:space="preserve"> Ethical principles, </w:t>
      </w:r>
      <w:r>
        <w:rPr>
          <w:lang w:val="en-US"/>
        </w:rPr>
        <w:t>based</w:t>
      </w:r>
      <w:r w:rsidRPr="00FD3736">
        <w:rPr>
          <w:lang w:val="en-US"/>
        </w:rPr>
        <w:t xml:space="preserve"> </w:t>
      </w:r>
      <w:r>
        <w:rPr>
          <w:lang w:val="en-US"/>
        </w:rPr>
        <w:t>on</w:t>
      </w:r>
      <w:r w:rsidRPr="00FD3736">
        <w:rPr>
          <w:lang w:val="en-US"/>
        </w:rPr>
        <w:t xml:space="preserve"> patient autonomy and informed consent, are fundamental to professional behavior for </w:t>
      </w:r>
      <w:r>
        <w:rPr>
          <w:lang w:val="en-US"/>
        </w:rPr>
        <w:t>the majority of</w:t>
      </w:r>
      <w:r w:rsidRPr="00FD3736">
        <w:rPr>
          <w:lang w:val="en-US"/>
        </w:rPr>
        <w:t xml:space="preserve"> psychiatrists</w:t>
      </w:r>
      <w:r>
        <w:rPr>
          <w:lang w:val="en-US"/>
        </w:rPr>
        <w:t xml:space="preserve"> [abroad]</w:t>
      </w:r>
      <w:r w:rsidRPr="00FD3736">
        <w:rPr>
          <w:lang w:val="en-US"/>
        </w:rPr>
        <w:t>. The problem is what means good clinical practice for patients for whom these principles are not valuable</w:t>
      </w:r>
      <w:r>
        <w:rPr>
          <w:lang w:val="en-US"/>
        </w:rPr>
        <w:t xml:space="preserve"> [</w:t>
      </w:r>
      <w:r w:rsidRPr="00FD3736">
        <w:rPr>
          <w:lang w:val="en-US"/>
        </w:rPr>
        <w:t>…</w:t>
      </w:r>
      <w:r>
        <w:rPr>
          <w:lang w:val="en-US"/>
        </w:rPr>
        <w:t>].</w:t>
      </w:r>
      <w:r w:rsidRPr="00FD3736">
        <w:rPr>
          <w:lang w:val="en-US"/>
        </w:rPr>
        <w:t xml:space="preserve"> Patriarchal expectations, strong in traditional communities [as the Bulgarian], create an environment </w:t>
      </w:r>
      <w:r>
        <w:rPr>
          <w:lang w:val="en-US"/>
        </w:rPr>
        <w:t>exerting strong pressure towards paternalism</w:t>
      </w:r>
      <w:r w:rsidRPr="00FD3736">
        <w:rPr>
          <w:lang w:val="en-US"/>
        </w:rPr>
        <w:t xml:space="preserve"> (</w:t>
      </w:r>
      <w:r>
        <w:rPr>
          <w:lang w:val="en-US"/>
        </w:rPr>
        <w:t xml:space="preserve">Onchev </w:t>
      </w:r>
      <w:r w:rsidRPr="00FD3736">
        <w:rPr>
          <w:lang w:val="en-US"/>
        </w:rPr>
        <w:t xml:space="preserve">1999, 17). </w:t>
      </w:r>
    </w:p>
    <w:p w:rsidR="00631B5E" w:rsidRDefault="00631B5E" w:rsidP="00C07A3D">
      <w:pPr>
        <w:jc w:val="both"/>
        <w:rPr>
          <w:lang w:val="en-US"/>
        </w:rPr>
      </w:pPr>
      <w:r w:rsidRPr="00FD3736">
        <w:rPr>
          <w:lang w:val="en-US"/>
        </w:rPr>
        <w:t xml:space="preserve">Thus he outlines a kind of a grey zone, in which professionals are required to apply some foreign principles and respect foreign values, but due to the fact that they are not </w:t>
      </w:r>
      <w:r>
        <w:rPr>
          <w:lang w:val="en-US"/>
        </w:rPr>
        <w:t>internalized by the public</w:t>
      </w:r>
      <w:r w:rsidRPr="00FD3736">
        <w:rPr>
          <w:lang w:val="en-US"/>
        </w:rPr>
        <w:t>, and sometimes even openly rejected by the patients and families themselves, they could act entirely on their discretion whether to comply with them</w:t>
      </w:r>
      <w:r>
        <w:rPr>
          <w:lang w:val="en-US"/>
        </w:rPr>
        <w:t xml:space="preserve"> or not</w:t>
      </w:r>
      <w:r w:rsidRPr="00FD3736">
        <w:rPr>
          <w:lang w:val="en-US"/>
        </w:rPr>
        <w:t xml:space="preserve">. </w:t>
      </w:r>
    </w:p>
    <w:p w:rsidR="00631B5E" w:rsidRPr="00833CD4" w:rsidRDefault="00631B5E" w:rsidP="003311D5">
      <w:pPr>
        <w:pStyle w:val="Body"/>
        <w:jc w:val="both"/>
        <w:rPr>
          <w:rFonts w:asciiTheme="minorHAnsi" w:eastAsiaTheme="minorHAnsi" w:hAnsiTheme="minorHAnsi" w:cstheme="minorBidi"/>
          <w:color w:val="auto"/>
          <w:bdr w:val="none" w:sz="0" w:space="0" w:color="auto"/>
          <w:lang w:val="bg-BG" w:eastAsia="en-US"/>
        </w:rPr>
      </w:pPr>
      <w:r w:rsidRPr="00FD3736">
        <w:rPr>
          <w:rFonts w:asciiTheme="minorHAnsi" w:eastAsiaTheme="minorHAnsi" w:hAnsiTheme="minorHAnsi" w:cstheme="minorBidi"/>
          <w:color w:val="auto"/>
          <w:bdr w:val="none" w:sz="0" w:space="0" w:color="auto"/>
          <w:lang w:eastAsia="en-US"/>
        </w:rPr>
        <w:t>Additional evidence that the reformers – although proclaiming themselves as the bringers of the democratic progressivism and the Western values, which shall overthrow the toxic totalitarian legacy – practically were concerned mainly with the interests of their community, is an art</w:t>
      </w:r>
      <w:r>
        <w:rPr>
          <w:rFonts w:asciiTheme="minorHAnsi" w:eastAsiaTheme="minorHAnsi" w:hAnsiTheme="minorHAnsi" w:cstheme="minorBidi"/>
          <w:color w:val="auto"/>
          <w:bdr w:val="none" w:sz="0" w:space="0" w:color="auto"/>
          <w:lang w:eastAsia="en-US"/>
        </w:rPr>
        <w:t>icle by Boris Boyadzhiev (one of the key reformers) on the widely used then “unmodified” (that is,</w:t>
      </w:r>
      <w:r w:rsidRPr="00FD3736">
        <w:rPr>
          <w:rFonts w:asciiTheme="minorHAnsi" w:eastAsiaTheme="minorHAnsi" w:hAnsiTheme="minorHAnsi" w:cstheme="minorBidi"/>
          <w:color w:val="auto"/>
          <w:bdr w:val="none" w:sz="0" w:space="0" w:color="auto"/>
          <w:lang w:eastAsia="en-US"/>
        </w:rPr>
        <w:t xml:space="preserve"> without anesthesia and myorelax</w:t>
      </w:r>
      <w:r>
        <w:rPr>
          <w:rFonts w:asciiTheme="minorHAnsi" w:eastAsiaTheme="minorHAnsi" w:hAnsiTheme="minorHAnsi" w:cstheme="minorBidi"/>
          <w:color w:val="auto"/>
          <w:bdr w:val="none" w:sz="0" w:space="0" w:color="auto"/>
          <w:lang w:eastAsia="en-US"/>
        </w:rPr>
        <w:t>ation) ECT (Boyadzhiev 2002</w:t>
      </w:r>
      <w:r w:rsidRPr="00FD3736">
        <w:rPr>
          <w:rFonts w:asciiTheme="minorHAnsi" w:eastAsiaTheme="minorHAnsi" w:hAnsiTheme="minorHAnsi" w:cstheme="minorBidi"/>
          <w:color w:val="auto"/>
          <w:bdr w:val="none" w:sz="0" w:space="0" w:color="auto"/>
          <w:lang w:eastAsia="en-US"/>
        </w:rPr>
        <w:t>). In his official opi</w:t>
      </w:r>
      <w:r>
        <w:rPr>
          <w:rFonts w:asciiTheme="minorHAnsi" w:eastAsiaTheme="minorHAnsi" w:hAnsiTheme="minorHAnsi" w:cstheme="minorBidi"/>
          <w:color w:val="auto"/>
          <w:bdr w:val="none" w:sz="0" w:space="0" w:color="auto"/>
          <w:lang w:eastAsia="en-US"/>
        </w:rPr>
        <w:t>nion, he asserts that this is</w:t>
      </w:r>
      <w:r w:rsidRPr="00FD3736">
        <w:rPr>
          <w:rFonts w:asciiTheme="minorHAnsi" w:eastAsiaTheme="minorHAnsi" w:hAnsiTheme="minorHAnsi" w:cstheme="minorBidi"/>
          <w:color w:val="auto"/>
          <w:bdr w:val="none" w:sz="0" w:space="0" w:color="auto"/>
          <w:lang w:eastAsia="en-US"/>
        </w:rPr>
        <w:t xml:space="preserve"> inhuman and unethical practice, but its regulation should not be enforced by law, since the state cannot intrude in the professionals’ expertise and </w:t>
      </w:r>
      <w:r>
        <w:rPr>
          <w:rFonts w:asciiTheme="minorHAnsi" w:eastAsiaTheme="minorHAnsi" w:hAnsiTheme="minorHAnsi" w:cstheme="minorBidi"/>
          <w:color w:val="auto"/>
          <w:bdr w:val="none" w:sz="0" w:space="0" w:color="auto"/>
          <w:lang w:eastAsia="en-US"/>
        </w:rPr>
        <w:t>decision-making.</w:t>
      </w:r>
      <w:r w:rsidRPr="00FD3736">
        <w:rPr>
          <w:rFonts w:asciiTheme="minorHAnsi" w:eastAsiaTheme="minorHAnsi" w:hAnsiTheme="minorHAnsi" w:cstheme="minorBidi"/>
          <w:color w:val="auto"/>
          <w:bdr w:val="none" w:sz="0" w:space="0" w:color="auto"/>
          <w:lang w:eastAsia="en-US"/>
        </w:rPr>
        <w:t xml:space="preserve"> </w:t>
      </w:r>
      <w:r>
        <w:rPr>
          <w:rFonts w:asciiTheme="minorHAnsi" w:eastAsiaTheme="minorHAnsi" w:hAnsiTheme="minorHAnsi" w:cstheme="minorBidi"/>
          <w:color w:val="auto"/>
          <w:bdr w:val="none" w:sz="0" w:space="0" w:color="auto"/>
          <w:lang w:eastAsia="en-US"/>
        </w:rPr>
        <w:t>They</w:t>
      </w:r>
      <w:r w:rsidRPr="00FD3736">
        <w:rPr>
          <w:rFonts w:asciiTheme="minorHAnsi" w:eastAsiaTheme="minorHAnsi" w:hAnsiTheme="minorHAnsi" w:cstheme="minorBidi"/>
          <w:color w:val="auto"/>
          <w:bdr w:val="none" w:sz="0" w:space="0" w:color="auto"/>
          <w:lang w:eastAsia="en-US"/>
        </w:rPr>
        <w:t xml:space="preserve"> should independently </w:t>
      </w:r>
      <w:r>
        <w:rPr>
          <w:rFonts w:asciiTheme="minorHAnsi" w:eastAsiaTheme="minorHAnsi" w:hAnsiTheme="minorHAnsi" w:cstheme="minorBidi"/>
          <w:color w:val="auto"/>
          <w:bdr w:val="none" w:sz="0" w:space="0" w:color="auto"/>
          <w:lang w:eastAsia="en-US"/>
        </w:rPr>
        <w:t xml:space="preserve">prescribe </w:t>
      </w:r>
      <w:r w:rsidRPr="00FD3736">
        <w:rPr>
          <w:rFonts w:asciiTheme="minorHAnsi" w:eastAsiaTheme="minorHAnsi" w:hAnsiTheme="minorHAnsi" w:cstheme="minorBidi"/>
          <w:color w:val="auto"/>
          <w:bdr w:val="none" w:sz="0" w:space="0" w:color="auto"/>
          <w:lang w:eastAsia="en-US"/>
        </w:rPr>
        <w:t>the best therapy for “their” patients, according to the available knowledge and material resources. It is curious that just a</w:t>
      </w:r>
      <w:r>
        <w:rPr>
          <w:rFonts w:asciiTheme="minorHAnsi" w:eastAsiaTheme="minorHAnsi" w:hAnsiTheme="minorHAnsi" w:cstheme="minorBidi"/>
          <w:color w:val="auto"/>
          <w:bdr w:val="none" w:sz="0" w:space="0" w:color="auto"/>
          <w:lang w:eastAsia="en-US"/>
        </w:rPr>
        <w:t>n</w:t>
      </w:r>
      <w:r w:rsidRPr="00FD3736">
        <w:rPr>
          <w:rFonts w:asciiTheme="minorHAnsi" w:eastAsiaTheme="minorHAnsi" w:hAnsiTheme="minorHAnsi" w:cstheme="minorBidi"/>
          <w:color w:val="auto"/>
          <w:bdr w:val="none" w:sz="0" w:space="0" w:color="auto"/>
          <w:lang w:eastAsia="en-US"/>
        </w:rPr>
        <w:t xml:space="preserve"> year earlier </w:t>
      </w:r>
      <w:r>
        <w:rPr>
          <w:rFonts w:asciiTheme="minorHAnsi" w:eastAsiaTheme="minorHAnsi" w:hAnsiTheme="minorHAnsi" w:cstheme="minorBidi"/>
          <w:color w:val="auto"/>
          <w:bdr w:val="none" w:sz="0" w:space="0" w:color="auto"/>
          <w:lang w:eastAsia="en-US"/>
        </w:rPr>
        <w:t>Boyadzhiev</w:t>
      </w:r>
      <w:r w:rsidRPr="00FD3736">
        <w:rPr>
          <w:rFonts w:asciiTheme="minorHAnsi" w:eastAsiaTheme="minorHAnsi" w:hAnsiTheme="minorHAnsi" w:cstheme="minorBidi"/>
          <w:color w:val="auto"/>
          <w:bdr w:val="none" w:sz="0" w:space="0" w:color="auto"/>
          <w:lang w:eastAsia="en-US"/>
        </w:rPr>
        <w:t xml:space="preserve"> stated</w:t>
      </w:r>
      <w:r>
        <w:rPr>
          <w:rFonts w:asciiTheme="minorHAnsi" w:eastAsiaTheme="minorHAnsi" w:hAnsiTheme="minorHAnsi" w:cstheme="minorBidi"/>
          <w:color w:val="auto"/>
          <w:bdr w:val="none" w:sz="0" w:space="0" w:color="auto"/>
          <w:lang w:eastAsia="en-US"/>
        </w:rPr>
        <w:t>,</w:t>
      </w:r>
      <w:r w:rsidRPr="00FD3736">
        <w:rPr>
          <w:rFonts w:asciiTheme="minorHAnsi" w:eastAsiaTheme="minorHAnsi" w:hAnsiTheme="minorHAnsi" w:cstheme="minorBidi"/>
          <w:color w:val="auto"/>
          <w:bdr w:val="none" w:sz="0" w:space="0" w:color="auto"/>
          <w:lang w:eastAsia="en-US"/>
        </w:rPr>
        <w:t xml:space="preserve"> however</w:t>
      </w:r>
      <w:r>
        <w:rPr>
          <w:rFonts w:asciiTheme="minorHAnsi" w:eastAsiaTheme="minorHAnsi" w:hAnsiTheme="minorHAnsi" w:cstheme="minorBidi"/>
          <w:color w:val="auto"/>
          <w:bdr w:val="none" w:sz="0" w:space="0" w:color="auto"/>
          <w:lang w:eastAsia="en-US"/>
        </w:rPr>
        <w:t>,</w:t>
      </w:r>
      <w:r w:rsidRPr="00FD3736">
        <w:rPr>
          <w:rFonts w:asciiTheme="minorHAnsi" w:eastAsiaTheme="minorHAnsi" w:hAnsiTheme="minorHAnsi" w:cstheme="minorBidi"/>
          <w:color w:val="auto"/>
          <w:bdr w:val="none" w:sz="0" w:space="0" w:color="auto"/>
          <w:lang w:eastAsia="en-US"/>
        </w:rPr>
        <w:t xml:space="preserve"> that „there is no genuine professional community yet – independent, autonomous, self-regulating… and that is why </w:t>
      </w:r>
      <w:r w:rsidRPr="00FD3736">
        <w:rPr>
          <w:rFonts w:asciiTheme="minorHAnsi" w:eastAsiaTheme="minorHAnsi" w:hAnsiTheme="minorHAnsi" w:cstheme="minorBidi"/>
          <w:color w:val="auto"/>
          <w:bdr w:val="none" w:sz="0" w:space="0" w:color="auto"/>
          <w:lang w:eastAsia="en-US"/>
        </w:rPr>
        <w:lastRenderedPageBreak/>
        <w:t>the psychiatrists are in duty to the public” (</w:t>
      </w:r>
      <w:r>
        <w:rPr>
          <w:rFonts w:asciiTheme="minorHAnsi" w:eastAsiaTheme="minorHAnsi" w:hAnsiTheme="minorHAnsi" w:cstheme="minorBidi"/>
          <w:color w:val="auto"/>
          <w:bdr w:val="none" w:sz="0" w:space="0" w:color="auto"/>
          <w:lang w:eastAsia="en-US"/>
        </w:rPr>
        <w:t>Sofia Psychiatric Society</w:t>
      </w:r>
      <w:r w:rsidRPr="00FD3736">
        <w:rPr>
          <w:rFonts w:asciiTheme="minorHAnsi" w:eastAsiaTheme="minorHAnsi" w:hAnsiTheme="minorHAnsi" w:cstheme="minorBidi"/>
          <w:color w:val="auto"/>
          <w:bdr w:val="none" w:sz="0" w:space="0" w:color="auto"/>
          <w:lang w:eastAsia="en-US"/>
        </w:rPr>
        <w:t xml:space="preserve"> 2001, 49). The measures he proposes to counteract the practice were more funding of the facilities where ECT is applied as well as „the autonomous, organised and active demand on the part of the citizens and the patients their own interests to be defended, which is their share of the responsibility to receive good, effective and timely psychiatric care” (</w:t>
      </w:r>
      <w:r>
        <w:rPr>
          <w:rFonts w:asciiTheme="minorHAnsi" w:eastAsiaTheme="minorHAnsi" w:hAnsiTheme="minorHAnsi" w:cstheme="minorBidi"/>
          <w:color w:val="auto"/>
          <w:bdr w:val="none" w:sz="0" w:space="0" w:color="auto"/>
          <w:lang w:eastAsia="en-US"/>
        </w:rPr>
        <w:t xml:space="preserve">Boyadzhiev 2002, </w:t>
      </w:r>
      <w:r w:rsidRPr="00FD3736">
        <w:rPr>
          <w:rFonts w:asciiTheme="minorHAnsi" w:eastAsiaTheme="minorHAnsi" w:hAnsiTheme="minorHAnsi" w:cstheme="minorBidi"/>
          <w:color w:val="auto"/>
          <w:bdr w:val="none" w:sz="0" w:space="0" w:color="auto"/>
          <w:lang w:eastAsia="en-US"/>
        </w:rPr>
        <w:t xml:space="preserve">22). All this practically conveys the message that the psychiatrists should be left unbothered in their clinical decisions and the patients have to organise and fight if they want </w:t>
      </w:r>
      <w:r>
        <w:rPr>
          <w:rFonts w:asciiTheme="minorHAnsi" w:eastAsiaTheme="minorHAnsi" w:hAnsiTheme="minorHAnsi" w:cstheme="minorBidi"/>
          <w:color w:val="auto"/>
          <w:bdr w:val="none" w:sz="0" w:space="0" w:color="auto"/>
          <w:lang w:eastAsia="en-US"/>
        </w:rPr>
        <w:t xml:space="preserve">to receive </w:t>
      </w:r>
      <w:r w:rsidRPr="00FD3736">
        <w:rPr>
          <w:rFonts w:asciiTheme="minorHAnsi" w:eastAsiaTheme="minorHAnsi" w:hAnsiTheme="minorHAnsi" w:cstheme="minorBidi"/>
          <w:color w:val="auto"/>
          <w:bdr w:val="none" w:sz="0" w:space="0" w:color="auto"/>
          <w:lang w:eastAsia="en-US"/>
        </w:rPr>
        <w:t xml:space="preserve">ethical treatment. The latter is nonetheless true, but it runs counter to the stated in the BPA manifesto </w:t>
      </w:r>
      <w:r>
        <w:rPr>
          <w:rFonts w:asciiTheme="minorHAnsi" w:eastAsiaTheme="minorHAnsi" w:hAnsiTheme="minorHAnsi" w:cstheme="minorBidi"/>
          <w:color w:val="auto"/>
          <w:bdr w:val="none" w:sz="0" w:space="0" w:color="auto"/>
          <w:lang w:eastAsia="en-US"/>
        </w:rPr>
        <w:t>heroic self-positioning of the</w:t>
      </w:r>
      <w:r w:rsidRPr="00FD3736">
        <w:rPr>
          <w:rFonts w:asciiTheme="minorHAnsi" w:eastAsiaTheme="minorHAnsi" w:hAnsiTheme="minorHAnsi" w:cstheme="minorBidi"/>
          <w:color w:val="auto"/>
          <w:bdr w:val="none" w:sz="0" w:space="0" w:color="auto"/>
          <w:lang w:eastAsia="en-US"/>
        </w:rPr>
        <w:t xml:space="preserve"> professionals as advocates of the “most vulnerable and</w:t>
      </w:r>
      <w:r>
        <w:rPr>
          <w:rFonts w:asciiTheme="minorHAnsi" w:eastAsiaTheme="minorHAnsi" w:hAnsiTheme="minorHAnsi" w:cstheme="minorBidi"/>
          <w:color w:val="auto"/>
          <w:bdr w:val="none" w:sz="0" w:space="0" w:color="auto"/>
          <w:lang w:eastAsia="en-US"/>
        </w:rPr>
        <w:t xml:space="preserve"> oppressed members of our society”</w:t>
      </w:r>
      <w:r>
        <w:rPr>
          <w:rFonts w:asciiTheme="minorHAnsi" w:eastAsiaTheme="minorHAnsi" w:hAnsiTheme="minorHAnsi" w:cstheme="minorBidi"/>
          <w:color w:val="auto"/>
          <w:bdr w:val="none" w:sz="0" w:space="0" w:color="auto"/>
          <w:lang w:val="bg-BG" w:eastAsia="en-US"/>
        </w:rPr>
        <w:t>.</w:t>
      </w:r>
    </w:p>
    <w:p w:rsidR="00631B5E" w:rsidRDefault="00631B5E" w:rsidP="00B12ED8">
      <w:pPr>
        <w:pStyle w:val="Body"/>
        <w:jc w:val="both"/>
      </w:pPr>
      <w:r>
        <w:t>How were framed the patients during this period besides this image of „the most vulnerable members of society”, who are in dire need to be spoken for by the professionals? These early years of the transition were marked by a civil enthusiasm, resulting in an active establishment of NGOs in the field of mental health. They were predominantly associations, created by professionals or relatives and most of them disappeared in a short time span. In 2009 the National Organization of Mental Health Service Users was established. However, it was active only for several years, with its last annual report issued in 2013.</w:t>
      </w:r>
    </w:p>
    <w:p w:rsidR="00631B5E" w:rsidRDefault="00631B5E" w:rsidP="005E3161">
      <w:pPr>
        <w:pStyle w:val="Body"/>
        <w:jc w:val="both"/>
      </w:pPr>
      <w:r>
        <w:t>One of the oldest organizations, which survived and functioned during the whole period of the post-socialist transition is Association “Chovekolubie”. It was established in 1992 by the psychiatrist Emil Markov and initially functioned predominantly as a therapeutic club for informal communication and support of patients, relatives and professionals. It is revealing that Markov, when introducing its activities on the pages of the Bulletin of BPA in 1994, stresses exactly the fact that it has served to create and affirm the alliance between all these parties: „Patients and relatives, trying to fight on their own for some changes in the psychiatric system, have realised the difficulties that psychiatrists and other medical staff face on a daily basis. Now they are much more friendly and able to realistically assess their demands. They are more willing to help and cooperate, and are well aware of their common interests with professionals” (Markov 1994, 24).</w:t>
      </w:r>
    </w:p>
    <w:p w:rsidR="00631B5E" w:rsidRPr="006C3956" w:rsidRDefault="00631B5E" w:rsidP="005E3161">
      <w:pPr>
        <w:pStyle w:val="Body"/>
        <w:jc w:val="both"/>
        <w:rPr>
          <w:color w:val="0E101A"/>
        </w:rPr>
      </w:pPr>
      <w:r>
        <w:rPr>
          <w:color w:val="0E101A"/>
        </w:rPr>
        <w:t xml:space="preserve">Another important actor on the mental health scene was Association “Adaptation”. Its officially stated aim was to promote the transformation of the public attitudes towards mental health issues. The history of the association can be traced back to 2003, when the Group Psychiatric Practice "Adaptation" convened a meeting of relatives and proposed to create a mutual aid group with the support of professionals. As is evidenced in the memories of the psychiatrist Vladimir Sotirov, one of the founders and most active figures in the association, it was again </w:t>
      </w:r>
      <w:r>
        <w:rPr>
          <w:rStyle w:val="Emphasis"/>
          <w:color w:val="0E101A"/>
        </w:rPr>
        <w:t>for</w:t>
      </w:r>
      <w:r>
        <w:rPr>
          <w:color w:val="0E101A"/>
        </w:rPr>
        <w:t xml:space="preserve"> and not </w:t>
      </w:r>
      <w:r>
        <w:rPr>
          <w:rStyle w:val="Emphasis"/>
          <w:color w:val="0E101A"/>
        </w:rPr>
        <w:t>of</w:t>
      </w:r>
      <w:r>
        <w:rPr>
          <w:color w:val="0E101A"/>
        </w:rPr>
        <w:t xml:space="preserve"> people with psychiatric diagnoses themselves: „the relatives were really inspired by the opportunity to be together, to be in contact and wanted to continue supporting each other. Thus a self-help group was formed, which quickly grew into association” (Sotirov 2021, </w:t>
      </w:r>
      <w:r>
        <w:rPr>
          <w:color w:val="0E101A"/>
          <w:lang w:val="bg-BG"/>
        </w:rPr>
        <w:t>239</w:t>
      </w:r>
      <w:r>
        <w:rPr>
          <w:color w:val="0E101A"/>
        </w:rPr>
        <w:t xml:space="preserve">). </w:t>
      </w:r>
    </w:p>
    <w:p w:rsidR="00631B5E" w:rsidRDefault="00631B5E" w:rsidP="00393BBD">
      <w:pPr>
        <w:pStyle w:val="Body"/>
        <w:jc w:val="both"/>
      </w:pPr>
      <w:r w:rsidRPr="005E3161">
        <w:t xml:space="preserve">Thus the liberating spokespersonship of that period operated on two levels. It constructed </w:t>
      </w:r>
      <w:r>
        <w:t xml:space="preserve">the official imagery of psychiatrists assuming the role of guides – out of mental illness, out of socialist paternalistic legacy and out of the local backwardness; </w:t>
      </w:r>
      <w:r w:rsidRPr="005E3161">
        <w:t>and as in the late sociali</w:t>
      </w:r>
      <w:r>
        <w:t>sm they firmly grounded this role</w:t>
      </w:r>
      <w:r w:rsidRPr="005E3161">
        <w:t xml:space="preserve"> </w:t>
      </w:r>
      <w:r>
        <w:t>in</w:t>
      </w:r>
      <w:r w:rsidRPr="005E3161">
        <w:t xml:space="preserve"> the shared destiny of patients and professionals. On the other </w:t>
      </w:r>
      <w:r>
        <w:t>hand</w:t>
      </w:r>
      <w:r w:rsidRPr="005E3161">
        <w:t xml:space="preserve">, however, it could be said that the professionals deeply doubted the possibility of a real </w:t>
      </w:r>
      <w:r>
        <w:t>empowerment, since society</w:t>
      </w:r>
      <w:r w:rsidRPr="005E3161">
        <w:t xml:space="preserve"> </w:t>
      </w:r>
      <w:r>
        <w:t>is</w:t>
      </w:r>
      <w:r w:rsidRPr="005E3161">
        <w:t xml:space="preserve"> “not ready yet” to embrace and enact the Western values and principles, and </w:t>
      </w:r>
      <w:r>
        <w:t xml:space="preserve">this necessitates </w:t>
      </w:r>
      <w:r w:rsidRPr="005E3161">
        <w:t>stay</w:t>
      </w:r>
      <w:r>
        <w:t>ing</w:t>
      </w:r>
      <w:r w:rsidRPr="005E3161">
        <w:t xml:space="preserve"> within the paternalistic </w:t>
      </w:r>
      <w:r>
        <w:t>framework</w:t>
      </w:r>
      <w:r w:rsidRPr="005E3161">
        <w:t>.</w:t>
      </w:r>
    </w:p>
    <w:p w:rsidR="00631B5E" w:rsidRPr="00A63B53" w:rsidRDefault="00631B5E" w:rsidP="00393BBD">
      <w:pPr>
        <w:pStyle w:val="Body"/>
        <w:jc w:val="both"/>
        <w:rPr>
          <w:lang w:val="bg-BG"/>
        </w:rPr>
      </w:pPr>
    </w:p>
    <w:p w:rsidR="00631B5E" w:rsidRPr="003276B8" w:rsidRDefault="00631B5E" w:rsidP="00AA26E5">
      <w:pPr>
        <w:jc w:val="both"/>
        <w:rPr>
          <w:b/>
          <w:lang w:val="en-US"/>
        </w:rPr>
      </w:pPr>
      <w:r w:rsidRPr="003276B8">
        <w:rPr>
          <w:b/>
          <w:lang w:val="en-US"/>
        </w:rPr>
        <w:t>The empowering spokespersonship</w:t>
      </w:r>
      <w:r w:rsidRPr="003276B8">
        <w:rPr>
          <w:b/>
        </w:rPr>
        <w:t xml:space="preserve">: </w:t>
      </w:r>
      <w:r w:rsidRPr="003276B8">
        <w:rPr>
          <w:b/>
          <w:lang w:val="en-US"/>
        </w:rPr>
        <w:t>the</w:t>
      </w:r>
      <w:r>
        <w:rPr>
          <w:b/>
        </w:rPr>
        <w:t xml:space="preserve"> </w:t>
      </w:r>
      <w:r>
        <w:rPr>
          <w:b/>
          <w:lang w:val="en-US"/>
        </w:rPr>
        <w:t>current</w:t>
      </w:r>
      <w:r w:rsidRPr="003276B8">
        <w:rPr>
          <w:b/>
          <w:lang w:val="en-US"/>
        </w:rPr>
        <w:t xml:space="preserve"> NGO</w:t>
      </w:r>
      <w:r w:rsidRPr="003276B8">
        <w:rPr>
          <w:b/>
        </w:rPr>
        <w:t xml:space="preserve"> </w:t>
      </w:r>
      <w:r w:rsidRPr="003276B8">
        <w:rPr>
          <w:b/>
          <w:lang w:val="en-US"/>
        </w:rPr>
        <w:t>landscape</w:t>
      </w:r>
    </w:p>
    <w:p w:rsidR="00631B5E" w:rsidRDefault="00631B5E" w:rsidP="00D64182">
      <w:pPr>
        <w:pStyle w:val="Body"/>
        <w:jc w:val="both"/>
      </w:pPr>
      <w:r w:rsidRPr="005E3161">
        <w:lastRenderedPageBreak/>
        <w:t xml:space="preserve">In this section, I continue discussing mental health activism and advocacy, with a focus on its most recent state and predominantly on the non-governmental organisations operating mainly in the sector of social work. The motivation behind this is that </w:t>
      </w:r>
      <w:r>
        <w:t>currently they are the most visible actors in the mental health field, who publicly frame themselves as engaged not only with treatment, therapy and social services, but also with advocacy</w:t>
      </w:r>
      <w:r w:rsidRPr="005E3161">
        <w:t xml:space="preserve">. My aim is to </w:t>
      </w:r>
      <w:r>
        <w:t>explore</w:t>
      </w:r>
      <w:r w:rsidRPr="005E3161">
        <w:t xml:space="preserve"> whether their rhetoric of rights, empowerment, and </w:t>
      </w:r>
      <w:r>
        <w:t xml:space="preserve">activism, which is already </w:t>
      </w:r>
      <w:r w:rsidRPr="005E3161">
        <w:t xml:space="preserve">professionalised, actually allows and encourages the voices of the patients to be heard or </w:t>
      </w:r>
      <w:r>
        <w:t xml:space="preserve">again </w:t>
      </w:r>
      <w:r w:rsidRPr="005E3161">
        <w:t xml:space="preserve">constructs a relation </w:t>
      </w:r>
      <w:r>
        <w:t>of domination</w:t>
      </w:r>
      <w:r w:rsidRPr="005E3161">
        <w:t xml:space="preserve">. </w:t>
      </w:r>
      <w:r>
        <w:t>Certainly, i</w:t>
      </w:r>
      <w:r w:rsidRPr="005E3161">
        <w:t xml:space="preserve">t </w:t>
      </w:r>
      <w:r>
        <w:t>should</w:t>
      </w:r>
      <w:r w:rsidRPr="005E3161">
        <w:t xml:space="preserve"> be </w:t>
      </w:r>
      <w:r>
        <w:t>admitted that this</w:t>
      </w:r>
      <w:r w:rsidRPr="005E3161">
        <w:t xml:space="preserve"> expert discourse is a bright light in the grim reality of the current state of the treatment of people with psychiatric diagnoses since they</w:t>
      </w:r>
      <w:r>
        <w:t>,</w:t>
      </w:r>
      <w:r w:rsidRPr="005E3161">
        <w:t xml:space="preserve"> </w:t>
      </w:r>
      <w:r>
        <w:t>at least rhetorically, self-identify</w:t>
      </w:r>
      <w:r w:rsidRPr="005E3161">
        <w:t xml:space="preserve"> </w:t>
      </w:r>
      <w:r>
        <w:t xml:space="preserve">with </w:t>
      </w:r>
      <w:r w:rsidRPr="005E3161">
        <w:t xml:space="preserve">the principles of the social model and the UNCPRD. However, </w:t>
      </w:r>
      <w:r>
        <w:t xml:space="preserve">and as I show, </w:t>
      </w:r>
      <w:r w:rsidRPr="005E3161">
        <w:t>the</w:t>
      </w:r>
      <w:r>
        <w:t>ir</w:t>
      </w:r>
      <w:r w:rsidRPr="005E3161">
        <w:t xml:space="preserve"> advocacy still remains </w:t>
      </w:r>
      <w:r>
        <w:t>within</w:t>
      </w:r>
      <w:r w:rsidRPr="005E3161">
        <w:t xml:space="preserve"> the well-known confines of the spokespersonship model. </w:t>
      </w:r>
    </w:p>
    <w:p w:rsidR="00631B5E" w:rsidRDefault="00631B5E" w:rsidP="00354BE5">
      <w:pPr>
        <w:jc w:val="both"/>
        <w:rPr>
          <w:lang w:val="en-US"/>
        </w:rPr>
      </w:pPr>
      <w:r>
        <w:t>From here on I focus mainly on the activities and rhetoric of GIP – Bulgaria, since it is one of the well-entrenched NGOs in the Bulgarian mental health field, providing social services in collaboration with municipalities and promoting progressive reforms. One of the most recent initiatives (started in 2018) is called “Empowerment college” and is an international educational program, funded in the framework of Erasmus+. It is based on the principle of “co-production” and the teams which lead the training courses must include service users and mental health professionals. Its purpose is to encourage autonomy and teach skills for successful inclusion in the labor market. It should be noted that since its launching, which was reported by the local media, and the publishing online of its educational guideline, no more information about the initiative has been made publicly available on the website of the organisation</w:t>
      </w:r>
      <w:r>
        <w:rPr>
          <w:lang w:val="en-US"/>
        </w:rPr>
        <w:t>, which</w:t>
      </w:r>
      <w:r>
        <w:t xml:space="preserve"> </w:t>
      </w:r>
      <w:r>
        <w:rPr>
          <w:lang w:val="en-US"/>
        </w:rPr>
        <w:t xml:space="preserve">is </w:t>
      </w:r>
      <w:r>
        <w:t xml:space="preserve">only in English. All this casts a shadow of doubt on the endeavour since it practically has no public visibility and even the professionals working in the field have no information about its activities, as became clear during my field work. </w:t>
      </w:r>
    </w:p>
    <w:p w:rsidR="00631B5E" w:rsidRDefault="00631B5E" w:rsidP="00354BE5">
      <w:pPr>
        <w:jc w:val="both"/>
        <w:rPr>
          <w:rFonts w:cstheme="minorHAnsi"/>
          <w:lang w:val="en-US"/>
        </w:rPr>
      </w:pPr>
      <w:r>
        <w:t xml:space="preserve">Another initiative of GIP – Bulgaria, directly relevant to the focus of this analysis, is the official introduction of the </w:t>
      </w:r>
      <w:r>
        <w:rPr>
          <w:shd w:val="clear" w:color="auto" w:fill="FFFFFF"/>
        </w:rPr>
        <w:t xml:space="preserve">profession “expert by experience” in Bulgaria’s national register of occupations, which took place in 2013. Such experts are involved in the activities of the Complex for Mental Health Services in Sofia, operated by </w:t>
      </w:r>
      <w:r>
        <w:t>GIP – Bulgaria</w:t>
      </w:r>
      <w:r>
        <w:rPr>
          <w:shd w:val="clear" w:color="auto" w:fill="FFFFFF"/>
        </w:rPr>
        <w:t xml:space="preserve">. Unfortunately, this also </w:t>
      </w:r>
      <w:r>
        <w:rPr>
          <w:shd w:val="clear" w:color="auto" w:fill="FFFFFF"/>
          <w:lang w:val="en-US"/>
        </w:rPr>
        <w:t xml:space="preserve">has not stimulated broader </w:t>
      </w:r>
      <w:r w:rsidRPr="00DF0B51">
        <w:rPr>
          <w:rFonts w:cstheme="minorHAnsi"/>
          <w:lang w:val="en-US"/>
        </w:rPr>
        <w:t xml:space="preserve">user involvement. </w:t>
      </w:r>
    </w:p>
    <w:p w:rsidR="00631B5E" w:rsidRPr="00355510" w:rsidRDefault="00631B5E" w:rsidP="003E0BEE">
      <w:pPr>
        <w:jc w:val="both"/>
        <w:rPr>
          <w:rFonts w:cstheme="minorHAnsi"/>
          <w:color w:val="1F1F1F"/>
          <w:lang w:val="en-US"/>
        </w:rPr>
      </w:pPr>
      <w:r>
        <w:rPr>
          <w:rFonts w:cstheme="minorHAnsi"/>
          <w:color w:val="242021"/>
          <w:u w:color="242021"/>
          <w:lang w:val="en-US"/>
        </w:rPr>
        <w:t xml:space="preserve">Perhaps the initiative that assumed the image of an epitome of mental health activism </w:t>
      </w:r>
      <w:r w:rsidRPr="00354BE5">
        <w:rPr>
          <w:rFonts w:cstheme="minorHAnsi"/>
          <w:color w:val="242021"/>
          <w:u w:color="242021"/>
        </w:rPr>
        <w:t xml:space="preserve">has been </w:t>
      </w:r>
      <w:r w:rsidRPr="00354BE5">
        <w:rPr>
          <w:rFonts w:cstheme="minorHAnsi"/>
        </w:rPr>
        <w:t xml:space="preserve">the </w:t>
      </w:r>
      <w:r>
        <w:rPr>
          <w:rFonts w:cstheme="minorHAnsi"/>
          <w:lang w:val="en-US"/>
        </w:rPr>
        <w:t>campaign</w:t>
      </w:r>
      <w:r w:rsidRPr="00354BE5">
        <w:rPr>
          <w:rFonts w:cstheme="minorHAnsi"/>
          <w:lang w:val="en-US"/>
        </w:rPr>
        <w:t xml:space="preserve"> to abolish guardianship for people with intellectual disabilities and mental health </w:t>
      </w:r>
      <w:r>
        <w:rPr>
          <w:rFonts w:cstheme="minorHAnsi"/>
          <w:lang w:val="en-US"/>
        </w:rPr>
        <w:t>problems.</w:t>
      </w:r>
      <w:r>
        <w:rPr>
          <w:rStyle w:val="EndnoteReference"/>
          <w:rFonts w:cstheme="minorHAnsi"/>
          <w:lang w:val="en-US"/>
        </w:rPr>
        <w:endnoteReference w:id="6"/>
      </w:r>
      <w:r>
        <w:rPr>
          <w:rFonts w:cstheme="minorHAnsi"/>
          <w:lang w:val="en-US"/>
        </w:rPr>
        <w:t xml:space="preserve"> It is led by GIP and other NGOs, all of them of </w:t>
      </w:r>
      <w:r>
        <w:rPr>
          <w:rFonts w:cstheme="minorHAnsi"/>
          <w:color w:val="242021"/>
          <w:u w:color="242021"/>
          <w:lang w:val="en-US"/>
        </w:rPr>
        <w:t xml:space="preserve">care </w:t>
      </w:r>
      <w:r w:rsidRPr="005A31BF">
        <w:rPr>
          <w:rFonts w:cstheme="minorHAnsi"/>
          <w:color w:val="242021"/>
          <w:u w:color="242021"/>
          <w:lang w:val="en-US"/>
        </w:rPr>
        <w:t>professionals</w:t>
      </w:r>
      <w:r w:rsidRPr="005A31BF">
        <w:rPr>
          <w:rFonts w:cstheme="minorHAnsi"/>
          <w:color w:val="242021"/>
          <w:u w:color="242021"/>
        </w:rPr>
        <w:t xml:space="preserve"> </w:t>
      </w:r>
      <w:r w:rsidRPr="005A31BF">
        <w:rPr>
          <w:rFonts w:cstheme="minorHAnsi"/>
          <w:color w:val="242021"/>
          <w:u w:color="242021"/>
          <w:lang w:val="en-US"/>
        </w:rPr>
        <w:t>and relatives</w:t>
      </w:r>
      <w:r w:rsidRPr="005A31BF">
        <w:rPr>
          <w:rFonts w:cstheme="minorHAnsi"/>
        </w:rPr>
        <w:t>.</w:t>
      </w:r>
      <w:r w:rsidRPr="005A31BF">
        <w:rPr>
          <w:rFonts w:cstheme="minorHAnsi"/>
          <w:lang w:val="en-US"/>
        </w:rPr>
        <w:t xml:space="preserve"> </w:t>
      </w:r>
      <w:r>
        <w:rPr>
          <w:rFonts w:cstheme="minorHAnsi"/>
          <w:lang w:val="en-US"/>
        </w:rPr>
        <w:t>Very a</w:t>
      </w:r>
      <w:r w:rsidRPr="005A31BF">
        <w:rPr>
          <w:rFonts w:cstheme="minorHAnsi"/>
          <w:lang w:val="en-US"/>
        </w:rPr>
        <w:t xml:space="preserve">ctive is also </w:t>
      </w:r>
      <w:r w:rsidRPr="005A31BF">
        <w:rPr>
          <w:rFonts w:cstheme="minorHAnsi"/>
          <w:color w:val="1F1F1F"/>
        </w:rPr>
        <w:t>The Bulgarian Center for Not-for-Profit Law (BCNL</w:t>
      </w:r>
      <w:r>
        <w:rPr>
          <w:rFonts w:cstheme="minorHAnsi"/>
          <w:color w:val="1F1F1F"/>
          <w:lang w:val="en-US"/>
        </w:rPr>
        <w:t>) –</w:t>
      </w:r>
      <w:r w:rsidRPr="005A31BF">
        <w:rPr>
          <w:rFonts w:cstheme="minorHAnsi"/>
          <w:color w:val="1F1F1F"/>
          <w:lang w:val="en-US"/>
        </w:rPr>
        <w:t xml:space="preserve"> </w:t>
      </w:r>
      <w:r>
        <w:rPr>
          <w:rFonts w:cstheme="minorHAnsi"/>
          <w:color w:val="1F1F1F"/>
          <w:lang w:val="en-US"/>
        </w:rPr>
        <w:t xml:space="preserve">one of the key actors on the local transitional scene, which actively promotes civil society values, encourages civic engagement, teaches empowerment and advocacy skills and offers professionalised services in the NGO field. </w:t>
      </w:r>
      <w:r w:rsidRPr="005A31BF">
        <w:rPr>
          <w:rFonts w:cstheme="minorHAnsi"/>
          <w:lang w:val="en-US"/>
        </w:rPr>
        <w:t xml:space="preserve">The framework </w:t>
      </w:r>
      <w:r>
        <w:rPr>
          <w:rFonts w:cstheme="minorHAnsi"/>
          <w:lang w:val="en-US"/>
        </w:rPr>
        <w:t>used to justify the demand for legal changes, regarding</w:t>
      </w:r>
      <w:r w:rsidRPr="005A31BF">
        <w:rPr>
          <w:rFonts w:cstheme="minorHAnsi"/>
          <w:lang w:val="en-US"/>
        </w:rPr>
        <w:t xml:space="preserve"> </w:t>
      </w:r>
      <w:r>
        <w:rPr>
          <w:rFonts w:cstheme="minorHAnsi"/>
          <w:lang w:val="en-US"/>
        </w:rPr>
        <w:t xml:space="preserve">guardianship, </w:t>
      </w:r>
      <w:r w:rsidRPr="005A31BF">
        <w:rPr>
          <w:rFonts w:cstheme="minorHAnsi"/>
          <w:lang w:val="en-US"/>
        </w:rPr>
        <w:t xml:space="preserve">is the UN Convention on the Rights of Persons with Disabilities (CRPD), ratified by Bulgaria in 2012. </w:t>
      </w:r>
      <w:r>
        <w:rPr>
          <w:rFonts w:cstheme="minorHAnsi"/>
          <w:lang w:val="en-US"/>
        </w:rPr>
        <w:t>Curiously, and against the</w:t>
      </w:r>
      <w:r w:rsidRPr="001E0047">
        <w:rPr>
          <w:rFonts w:cstheme="minorHAnsi"/>
          <w:lang w:val="en-US"/>
        </w:rPr>
        <w:t xml:space="preserve"> </w:t>
      </w:r>
      <w:r w:rsidRPr="00354BE5">
        <w:rPr>
          <w:rFonts w:cstheme="minorHAnsi"/>
          <w:lang w:val="en-US"/>
        </w:rPr>
        <w:t>radically anti-paternalistic set of principles</w:t>
      </w:r>
      <w:r>
        <w:rPr>
          <w:rFonts w:cstheme="minorHAnsi"/>
          <w:lang w:val="en-US"/>
        </w:rPr>
        <w:t>, embraced by the CPRD, none of the organizations, participating in the campaign,</w:t>
      </w:r>
      <w:r w:rsidRPr="00354BE5">
        <w:rPr>
          <w:rFonts w:cstheme="minorHAnsi"/>
          <w:lang w:val="en-US"/>
        </w:rPr>
        <w:t xml:space="preserve"> </w:t>
      </w:r>
      <w:r>
        <w:rPr>
          <w:rFonts w:cstheme="minorHAnsi"/>
          <w:lang w:val="en-US"/>
        </w:rPr>
        <w:t xml:space="preserve">is </w:t>
      </w:r>
      <w:r w:rsidRPr="00354BE5">
        <w:rPr>
          <w:rFonts w:cstheme="minorHAnsi"/>
          <w:i/>
          <w:lang w:val="en-US"/>
        </w:rPr>
        <w:t>of</w:t>
      </w:r>
      <w:r w:rsidRPr="00354BE5">
        <w:rPr>
          <w:rFonts w:cstheme="minorHAnsi"/>
          <w:lang w:val="en-US"/>
        </w:rPr>
        <w:t xml:space="preserve"> people with intellectual disabilities or service-users.</w:t>
      </w:r>
      <w:r>
        <w:rPr>
          <w:rFonts w:cstheme="minorHAnsi"/>
          <w:lang w:val="en-US"/>
        </w:rPr>
        <w:t xml:space="preserve"> </w:t>
      </w:r>
      <w:r>
        <w:rPr>
          <w:lang w:val="en-US"/>
        </w:rPr>
        <w:t>Thus,</w:t>
      </w:r>
      <w:r>
        <w:t xml:space="preserve"> the Convention is actually mobilised and used not by the </w:t>
      </w:r>
      <w:r>
        <w:rPr>
          <w:lang w:val="en-US"/>
        </w:rPr>
        <w:t xml:space="preserve">service </w:t>
      </w:r>
      <w:r>
        <w:t xml:space="preserve">users themselves but always </w:t>
      </w:r>
      <w:r>
        <w:rPr>
          <w:i/>
          <w:iCs/>
        </w:rPr>
        <w:t>in their name</w:t>
      </w:r>
      <w:r>
        <w:t xml:space="preserve"> by psychiatrists and social workers. This is not necessarily bad in all cases, but clearly illustrates how a tool for resistance designed to be used by a certain group is appropriated by another – and not just </w:t>
      </w:r>
      <w:r>
        <w:rPr>
          <w:i/>
          <w:iCs/>
        </w:rPr>
        <w:t>another</w:t>
      </w:r>
      <w:r>
        <w:t>, but exactly the group</w:t>
      </w:r>
      <w:r>
        <w:rPr>
          <w:lang w:val="en-US"/>
        </w:rPr>
        <w:t xml:space="preserve"> that</w:t>
      </w:r>
      <w:r>
        <w:t xml:space="preserve"> </w:t>
      </w:r>
      <w:r>
        <w:rPr>
          <w:lang w:val="en-US"/>
        </w:rPr>
        <w:t xml:space="preserve">has </w:t>
      </w:r>
      <w:r>
        <w:t xml:space="preserve">historically been the key source of </w:t>
      </w:r>
      <w:r>
        <w:rPr>
          <w:lang w:val="en-US"/>
        </w:rPr>
        <w:t xml:space="preserve">its </w:t>
      </w:r>
      <w:r>
        <w:t xml:space="preserve">oppression. </w:t>
      </w:r>
      <w:r>
        <w:rPr>
          <w:rFonts w:cstheme="minorHAnsi"/>
          <w:lang w:val="en-US"/>
        </w:rPr>
        <w:t xml:space="preserve">Thus, </w:t>
      </w:r>
      <w:r w:rsidRPr="00354BE5">
        <w:rPr>
          <w:rFonts w:cstheme="minorHAnsi"/>
          <w:lang w:val="en-US"/>
        </w:rPr>
        <w:t>in a paradoxical way</w:t>
      </w:r>
      <w:r>
        <w:rPr>
          <w:rFonts w:cstheme="minorHAnsi"/>
          <w:lang w:val="en-US"/>
        </w:rPr>
        <w:t xml:space="preserve"> this initiative again appears to be an instance of benevolent spokespersonship</w:t>
      </w:r>
      <w:r w:rsidRPr="00354BE5">
        <w:rPr>
          <w:rFonts w:cstheme="minorHAnsi"/>
          <w:lang w:val="en-US"/>
        </w:rPr>
        <w:t xml:space="preserve">. </w:t>
      </w:r>
    </w:p>
    <w:p w:rsidR="001E0047" w:rsidRPr="0026156D" w:rsidRDefault="00631B5E" w:rsidP="001E0047">
      <w:pPr>
        <w:jc w:val="both"/>
        <w:rPr>
          <w:rFonts w:cstheme="minorHAnsi"/>
          <w:lang w:val="en-US"/>
        </w:rPr>
      </w:pPr>
      <w:r w:rsidRPr="00722A73">
        <w:rPr>
          <w:rFonts w:cstheme="minorHAnsi"/>
          <w:lang w:val="en-US"/>
        </w:rPr>
        <w:t>Telling in this respect is the latest visual undertaking within this campaign. Since all these NG</w:t>
      </w:r>
      <w:r>
        <w:rPr>
          <w:rFonts w:cstheme="minorHAnsi"/>
          <w:lang w:val="en-US"/>
        </w:rPr>
        <w:t>Os are undoubtedly advocacy experts</w:t>
      </w:r>
      <w:r w:rsidRPr="00722A73">
        <w:rPr>
          <w:rFonts w:cstheme="minorHAnsi"/>
          <w:lang w:val="en-US"/>
        </w:rPr>
        <w:t xml:space="preserve"> and know what is required by the social model of disability and the </w:t>
      </w:r>
      <w:r w:rsidRPr="00722A73">
        <w:rPr>
          <w:rFonts w:cstheme="minorHAnsi"/>
        </w:rPr>
        <w:lastRenderedPageBreak/>
        <w:t>CRPD</w:t>
      </w:r>
      <w:r w:rsidRPr="00722A73">
        <w:rPr>
          <w:rFonts w:cstheme="minorHAnsi"/>
          <w:lang w:val="en-US"/>
        </w:rPr>
        <w:t xml:space="preserve">, they are probably also aware of the conspicuous absence of the people with </w:t>
      </w:r>
      <w:r>
        <w:rPr>
          <w:rFonts w:cstheme="minorHAnsi"/>
          <w:lang w:val="en-US"/>
        </w:rPr>
        <w:t xml:space="preserve">intellectual </w:t>
      </w:r>
      <w:r w:rsidRPr="00722A73">
        <w:rPr>
          <w:rFonts w:cstheme="minorHAnsi"/>
          <w:lang w:val="en-US"/>
        </w:rPr>
        <w:t xml:space="preserve">disabilities </w:t>
      </w:r>
      <w:r>
        <w:rPr>
          <w:rFonts w:cstheme="minorHAnsi"/>
          <w:lang w:val="en-US"/>
        </w:rPr>
        <w:t xml:space="preserve">and mental health problems </w:t>
      </w:r>
      <w:r w:rsidRPr="00722A73">
        <w:rPr>
          <w:rFonts w:cstheme="minorHAnsi"/>
          <w:lang w:val="en-US"/>
        </w:rPr>
        <w:t>themselves. An attempt to correct this is the Born Ready campaign</w:t>
      </w:r>
      <w:r>
        <w:rPr>
          <w:rStyle w:val="EndnoteReference"/>
          <w:rFonts w:cstheme="minorHAnsi"/>
          <w:lang w:val="en-US"/>
        </w:rPr>
        <w:endnoteReference w:id="7"/>
      </w:r>
      <w:r w:rsidRPr="00722A73">
        <w:rPr>
          <w:rFonts w:cstheme="minorHAnsi"/>
        </w:rPr>
        <w:t xml:space="preserve"> </w:t>
      </w:r>
      <w:r w:rsidR="001E0047" w:rsidRPr="00722A73">
        <w:rPr>
          <w:rFonts w:cstheme="minorHAnsi"/>
          <w:lang w:val="en-US"/>
        </w:rPr>
        <w:t xml:space="preserve">in which the spotlight </w:t>
      </w:r>
      <w:r w:rsidR="0097467F">
        <w:rPr>
          <w:rFonts w:cstheme="minorHAnsi"/>
          <w:lang w:val="en-US"/>
        </w:rPr>
        <w:t>is allegedly turned on self-advocates. The “spotlight”</w:t>
      </w:r>
      <w:r w:rsidR="001E0047" w:rsidRPr="00722A73">
        <w:rPr>
          <w:rFonts w:cstheme="minorHAnsi"/>
          <w:lang w:val="en-US"/>
        </w:rPr>
        <w:t xml:space="preserve"> consists in a short video</w:t>
      </w:r>
      <w:r w:rsidR="0097467F">
        <w:rPr>
          <w:rFonts w:cstheme="minorHAnsi"/>
          <w:lang w:val="en-US"/>
        </w:rPr>
        <w:t>,</w:t>
      </w:r>
      <w:r w:rsidR="001E0047" w:rsidRPr="00722A73">
        <w:rPr>
          <w:rFonts w:cstheme="minorHAnsi"/>
          <w:lang w:val="en-US"/>
        </w:rPr>
        <w:t xml:space="preserve"> featuring persons with </w:t>
      </w:r>
      <w:r w:rsidR="0097467F">
        <w:rPr>
          <w:rFonts w:cstheme="minorHAnsi"/>
          <w:lang w:val="en-US"/>
        </w:rPr>
        <w:t xml:space="preserve">intellectual </w:t>
      </w:r>
      <w:r w:rsidR="001E0047" w:rsidRPr="00722A73">
        <w:rPr>
          <w:rFonts w:cstheme="minorHAnsi"/>
          <w:lang w:val="en-US"/>
        </w:rPr>
        <w:t>disabilities who declare their resolve for attaining self-fulfillment</w:t>
      </w:r>
      <w:r w:rsidR="004B49E7">
        <w:rPr>
          <w:rFonts w:cstheme="minorHAnsi"/>
          <w:lang w:val="en-US"/>
        </w:rPr>
        <w:t xml:space="preserve"> through employment</w:t>
      </w:r>
      <w:r w:rsidR="001E0047" w:rsidRPr="00722A73">
        <w:rPr>
          <w:rFonts w:cstheme="minorHAnsi"/>
          <w:lang w:val="en-US"/>
        </w:rPr>
        <w:t xml:space="preserve">. This painfully reminds of the hypertrophied focus on work and vocational rehabilitation under socialism. </w:t>
      </w:r>
      <w:r w:rsidR="00D46728">
        <w:rPr>
          <w:rFonts w:cstheme="minorHAnsi"/>
          <w:lang w:val="en-US"/>
        </w:rPr>
        <w:t>Having in mind the intention of the video, namely to make the vo</w:t>
      </w:r>
      <w:r w:rsidR="0026156D">
        <w:rPr>
          <w:rFonts w:cstheme="minorHAnsi"/>
          <w:lang w:val="en-US"/>
        </w:rPr>
        <w:t>ices of self-advocates audi</w:t>
      </w:r>
      <w:r w:rsidR="00D46728">
        <w:rPr>
          <w:rFonts w:cstheme="minorHAnsi"/>
          <w:lang w:val="en-US"/>
        </w:rPr>
        <w:t>ble, s</w:t>
      </w:r>
      <w:r w:rsidR="001E0047" w:rsidRPr="00722A73">
        <w:rPr>
          <w:rFonts w:cstheme="minorHAnsi"/>
          <w:lang w:val="en-US"/>
        </w:rPr>
        <w:t>taggering is</w:t>
      </w:r>
      <w:r w:rsidR="001E0047" w:rsidRPr="0026156D">
        <w:rPr>
          <w:rFonts w:cstheme="minorHAnsi"/>
          <w:lang w:val="en-US"/>
        </w:rPr>
        <w:t xml:space="preserve"> the</w:t>
      </w:r>
      <w:r w:rsidR="0026156D" w:rsidRPr="0026156D">
        <w:rPr>
          <w:rFonts w:cstheme="minorHAnsi"/>
          <w:lang w:val="en-US"/>
        </w:rPr>
        <w:t>ir</w:t>
      </w:r>
      <w:r w:rsidR="001E0047" w:rsidRPr="004B49E7">
        <w:rPr>
          <w:rFonts w:cstheme="minorHAnsi"/>
          <w:i/>
          <w:lang w:val="en-US"/>
        </w:rPr>
        <w:t xml:space="preserve"> absence</w:t>
      </w:r>
      <w:r w:rsidR="0026156D">
        <w:rPr>
          <w:rFonts w:cstheme="minorHAnsi"/>
        </w:rPr>
        <w:t xml:space="preserve">: </w:t>
      </w:r>
      <w:r w:rsidR="0026156D">
        <w:rPr>
          <w:rFonts w:cstheme="minorHAnsi"/>
          <w:lang w:val="en-US"/>
        </w:rPr>
        <w:t>it is devised in the silent film genre, where title cards are used to convey the key messages.</w:t>
      </w:r>
    </w:p>
    <w:p w:rsidR="00D64182" w:rsidRDefault="00D64182" w:rsidP="00D64182">
      <w:pPr>
        <w:pStyle w:val="Body"/>
        <w:jc w:val="both"/>
      </w:pPr>
      <w:r>
        <w:t xml:space="preserve">Against this background, </w:t>
      </w:r>
      <w:r w:rsidR="0026156D">
        <w:t>quite revealing</w:t>
      </w:r>
      <w:r>
        <w:t xml:space="preserve"> </w:t>
      </w:r>
      <w:r w:rsidR="00DA595B">
        <w:t xml:space="preserve">is </w:t>
      </w:r>
      <w:r w:rsidR="0026156D">
        <w:t>the</w:t>
      </w:r>
      <w:r>
        <w:t xml:space="preserve"> explicit rhetoric of a media article</w:t>
      </w:r>
      <w:r w:rsidR="0026156D">
        <w:t>,</w:t>
      </w:r>
      <w:r>
        <w:t xml:space="preserve"> authored by Valentina Hristakeva, the chairwoman of GIP – Bulgaria, called “The invisibles and the social workers”</w:t>
      </w:r>
      <w:r w:rsidR="00F72DC6">
        <w:rPr>
          <w:lang w:val="bg-BG"/>
        </w:rPr>
        <w:t xml:space="preserve"> </w:t>
      </w:r>
      <w:r w:rsidR="00F72DC6">
        <w:t>(Hristakeva 2019)</w:t>
      </w:r>
      <w:r>
        <w:t xml:space="preserve">. It mobilises the typical imaginary of the totally abandoned, vulnerable people, and the social worker as their saviour. The narrative is structured as a fairytale, with the “invisible” victims </w:t>
      </w:r>
      <w:r w:rsidR="005C05DE">
        <w:t>a</w:t>
      </w:r>
      <w:r>
        <w:t xml:space="preserve">waiting the </w:t>
      </w:r>
      <w:r w:rsidR="005C05DE">
        <w:t>appearance</w:t>
      </w:r>
      <w:r>
        <w:t xml:space="preserve"> of the heroes who will save them. It opens up with </w:t>
      </w:r>
      <w:r w:rsidR="005C05DE">
        <w:t xml:space="preserve">the </w:t>
      </w:r>
      <w:r>
        <w:t xml:space="preserve">depictions of two protagonists framed as missing all key social identity markers, among which </w:t>
      </w:r>
      <w:r w:rsidR="005C05DE">
        <w:t xml:space="preserve">are their own names, voices and life </w:t>
      </w:r>
      <w:r>
        <w:t>stories:</w:t>
      </w:r>
    </w:p>
    <w:p w:rsidR="00D64182" w:rsidRDefault="00D64182" w:rsidP="00D64182">
      <w:pPr>
        <w:pStyle w:val="Body"/>
        <w:ind w:left="567" w:right="567"/>
        <w:jc w:val="both"/>
      </w:pPr>
      <w:r>
        <w:t xml:space="preserve">There is a woman that everyone has seen. She is the dirty one who feeds the dogs and sleeps with them. Sometimes she talks to herself, but she always talks to them. Nobody knows her name. She has forgotten it too. No documents, no personal story, no home, no friends and relatives. There is also a man who is always standing on the corner begging for cigarettes </w:t>
      </w:r>
      <w:r w:rsidR="005C05DE">
        <w:t>and money for coffee. Unsightly, and</w:t>
      </w:r>
      <w:r>
        <w:t xml:space="preserve"> a little weird. He lives somewhere in the neighbo</w:t>
      </w:r>
      <w:r w:rsidR="00F81A09">
        <w:t>u</w:t>
      </w:r>
      <w:r>
        <w:t xml:space="preserve">rhood, but his name is unknown. There are many such people - these are the ones - the nameless, lonely people, often mentally ill, left without family and friends, without anyone who knows that they are here, that they exist. </w:t>
      </w:r>
    </w:p>
    <w:p w:rsidR="00D64182" w:rsidRDefault="00D64182" w:rsidP="00D64182">
      <w:pPr>
        <w:pStyle w:val="Body"/>
        <w:jc w:val="both"/>
      </w:pPr>
      <w:r>
        <w:t>T</w:t>
      </w:r>
      <w:r w:rsidR="005C05DE">
        <w:t xml:space="preserve">he story continues, introducing </w:t>
      </w:r>
      <w:r>
        <w:t>the image of the social workers framed as heroes and savio</w:t>
      </w:r>
      <w:r w:rsidR="00F81A09">
        <w:t>u</w:t>
      </w:r>
      <w:r>
        <w:t>rs:</w:t>
      </w:r>
    </w:p>
    <w:p w:rsidR="00D64182" w:rsidRDefault="00D64182" w:rsidP="00D64182">
      <w:pPr>
        <w:pStyle w:val="Body"/>
        <w:ind w:left="567" w:right="567"/>
        <w:jc w:val="both"/>
      </w:pPr>
      <w:r>
        <w:t>There are other people. They are people with names and stories. Also a little bit weird. You will recogni</w:t>
      </w:r>
      <w:r w:rsidR="00F81A09">
        <w:t>s</w:t>
      </w:r>
      <w:r>
        <w:t>e them easily – they are the ones who will … accompany an old woman in need to her house. … Their names are not the most important thing. Their hearts are what matters. These people have huge hearts. These are the social workers from the services of GIP – Sofia.</w:t>
      </w:r>
    </w:p>
    <w:p w:rsidR="00D64182" w:rsidRDefault="00D64182" w:rsidP="00D64182">
      <w:pPr>
        <w:pStyle w:val="Body"/>
        <w:jc w:val="both"/>
      </w:pPr>
      <w:r>
        <w:t xml:space="preserve">The most telling </w:t>
      </w:r>
      <w:r w:rsidR="005C05DE">
        <w:t>part is how their act is framed</w:t>
      </w:r>
      <w:r w:rsidR="005C05DE">
        <w:rPr>
          <w:lang w:val="bg-BG"/>
        </w:rPr>
        <w:t>:</w:t>
      </w:r>
      <w:r w:rsidR="005C05DE">
        <w:t xml:space="preserve"> i</w:t>
      </w:r>
      <w:r>
        <w:t xml:space="preserve">t </w:t>
      </w:r>
      <w:r w:rsidR="005C05DE">
        <w:t>is</w:t>
      </w:r>
      <w:r>
        <w:t xml:space="preserve"> not only rescue from hardship but salvation through baptism:</w:t>
      </w:r>
    </w:p>
    <w:p w:rsidR="00D64182" w:rsidRDefault="00D64182" w:rsidP="00D64182">
      <w:pPr>
        <w:pStyle w:val="Body"/>
        <w:ind w:left="567" w:right="567"/>
        <w:jc w:val="both"/>
      </w:pPr>
      <w:r>
        <w:t>I think that what</w:t>
      </w:r>
      <w:r w:rsidR="005C05DE">
        <w:t xml:space="preserve"> we do is far beyond the terms “care”, “help”, “support”</w:t>
      </w:r>
      <w:r>
        <w:t xml:space="preserve">… We are more often collectors of stories. </w:t>
      </w:r>
      <w:r w:rsidR="005C05DE">
        <w:t>The s</w:t>
      </w:r>
      <w:r>
        <w:t>tories of the nameless people. Thus</w:t>
      </w:r>
      <w:r w:rsidR="005C05DE">
        <w:t>,</w:t>
      </w:r>
      <w:r>
        <w:t xml:space="preserve"> they become people, they become Human Beings with their own names.</w:t>
      </w:r>
    </w:p>
    <w:p w:rsidR="00D64182" w:rsidRDefault="005C05DE" w:rsidP="00D64182">
      <w:pPr>
        <w:pStyle w:val="Body"/>
        <w:jc w:val="both"/>
      </w:pPr>
      <w:r>
        <w:t>Obviously, this boils down to</w:t>
      </w:r>
      <w:r w:rsidR="00D64182">
        <w:t xml:space="preserve"> an </w:t>
      </w:r>
      <w:r w:rsidR="00F81A09">
        <w:t xml:space="preserve">unqualified </w:t>
      </w:r>
      <w:r w:rsidR="00D64182">
        <w:t xml:space="preserve">and outright claim that the social workers are those who, by endowing with name and with a story the abandoned people, practically infuse them with humanity, elevate them to human status. The mildest way to put it would be to call this gesture hubristic. However, it also shows that the NGO leaders are well trained and aware of the obligatory </w:t>
      </w:r>
      <w:r>
        <w:t>highlights</w:t>
      </w:r>
      <w:r w:rsidR="00D64182">
        <w:t xml:space="preserve"> in the imported lingo of empowerment and advocacy – they know perfectly well how important the stories and the voices of the service users are, but are </w:t>
      </w:r>
      <w:r>
        <w:t xml:space="preserve">strongly </w:t>
      </w:r>
      <w:r w:rsidR="00D64182">
        <w:t>inclined to present themselves as sources of the stories, thus displacing their real authors.</w:t>
      </w:r>
    </w:p>
    <w:p w:rsidR="00B6595F" w:rsidRDefault="00722A73" w:rsidP="00B6595F">
      <w:pPr>
        <w:pStyle w:val="Body"/>
        <w:jc w:val="both"/>
      </w:pPr>
      <w:r>
        <w:t xml:space="preserve">This attitude could be interpreted as </w:t>
      </w:r>
      <w:r w:rsidR="0035325B">
        <w:t xml:space="preserve">a symptom of </w:t>
      </w:r>
      <w:r>
        <w:t>quite strong “</w:t>
      </w:r>
      <w:r>
        <w:rPr>
          <w:color w:val="242021"/>
          <w:u w:color="242021"/>
        </w:rPr>
        <w:t>social work mentality</w:t>
      </w:r>
      <w:r>
        <w:t>” or “</w:t>
      </w:r>
      <w:r>
        <w:rPr>
          <w:color w:val="242021"/>
          <w:u w:color="242021"/>
        </w:rPr>
        <w:t xml:space="preserve">the tendency of social workers to set themselves apart from the people they are helping/saving, to </w:t>
      </w:r>
      <w:r>
        <w:rPr>
          <w:color w:val="242021"/>
          <w:u w:color="242021"/>
        </w:rPr>
        <w:lastRenderedPageBreak/>
        <w:t xml:space="preserve">affirm the hierarchical binary of helper </w:t>
      </w:r>
      <w:r>
        <w:t>and helped and to</w:t>
      </w:r>
      <w:r>
        <w:rPr>
          <w:color w:val="242021"/>
          <w:u w:color="242021"/>
        </w:rPr>
        <w:t xml:space="preserve"> imagine themselves as selfless, independent saviour outsiders”</w:t>
      </w:r>
      <w:r>
        <w:t xml:space="preserve"> (Chapman and Withers 2019, 360). </w:t>
      </w:r>
      <w:r w:rsidR="00D64182">
        <w:t>Similar air of savio</w:t>
      </w:r>
      <w:r>
        <w:t>u</w:t>
      </w:r>
      <w:r w:rsidR="00D64182">
        <w:t>r mentality characteri</w:t>
      </w:r>
      <w:r>
        <w:t>s</w:t>
      </w:r>
      <w:r w:rsidR="00D64182">
        <w:t xml:space="preserve">es the Facebook pages devoted to the activities of </w:t>
      </w:r>
      <w:r w:rsidR="00C010E0">
        <w:t>GIP –</w:t>
      </w:r>
      <w:r w:rsidR="00D64182">
        <w:t xml:space="preserve"> </w:t>
      </w:r>
      <w:r w:rsidR="00C010E0">
        <w:t xml:space="preserve">Bulgaria </w:t>
      </w:r>
      <w:r w:rsidR="00D64182">
        <w:t>and the general tendency is to rely on images and words conveying sad stories as Beresford (2016) calls this type of imagery and rhetoric. As he writes, the good practice in mental health demands that</w:t>
      </w:r>
      <w:r w:rsidR="00D64182">
        <w:rPr>
          <w:color w:val="242021"/>
          <w:u w:color="242021"/>
        </w:rPr>
        <w:t xml:space="preserve"> service users themselves are fully involved, “rather than simply serving as a source of ‘sad stories’ and passive accounts of disempowerment and marginalisation” (</w:t>
      </w:r>
      <w:r w:rsidR="00D64182">
        <w:t xml:space="preserve">Beresford 2016, </w:t>
      </w:r>
      <w:r w:rsidR="00D64182">
        <w:rPr>
          <w:color w:val="242021"/>
          <w:u w:color="242021"/>
        </w:rPr>
        <w:t>4). This reflex should be counteracted “through oﬀering legitimate ways of drawing on and making public disabled people’s personal difficulties and hardship, without reducing it to the level of ‘sad stories’ and individuali</w:t>
      </w:r>
      <w:r w:rsidR="00D520C7">
        <w:rPr>
          <w:color w:val="242021"/>
          <w:u w:color="242021"/>
        </w:rPr>
        <w:t>s</w:t>
      </w:r>
      <w:r w:rsidR="00D64182">
        <w:rPr>
          <w:color w:val="242021"/>
          <w:u w:color="242021"/>
        </w:rPr>
        <w:t>ed anecdotes” (Beresford 2016, 4</w:t>
      </w:r>
      <w:r w:rsidR="00D64182">
        <w:t xml:space="preserve">). </w:t>
      </w:r>
    </w:p>
    <w:p w:rsidR="000A3B30" w:rsidRPr="0035325B" w:rsidRDefault="0035325B" w:rsidP="00B6595F">
      <w:pPr>
        <w:pStyle w:val="Body"/>
        <w:jc w:val="both"/>
      </w:pPr>
      <w:r>
        <w:t>Thus, this most recent stage of mental health advocacy – led mainly by a handful of key NGOs, providing social services – has the potential to deepen the pretensions of the liberating spokespersonship from the 1990s even more. It claims to practically speak with the authentic voices of the service users, creating in this way the impression that the interests of the latter are already truly represented</w:t>
      </w:r>
      <w:r w:rsidR="000A3B30">
        <w:rPr>
          <w:shd w:val="clear" w:color="auto" w:fill="FFFFFF"/>
        </w:rPr>
        <w:t xml:space="preserve">. </w:t>
      </w:r>
    </w:p>
    <w:p w:rsidR="00666F64" w:rsidRDefault="00666F64" w:rsidP="00D64182">
      <w:pPr>
        <w:pStyle w:val="Body"/>
        <w:jc w:val="both"/>
        <w:rPr>
          <w:shd w:val="clear" w:color="auto" w:fill="FFFFFF"/>
        </w:rPr>
      </w:pPr>
    </w:p>
    <w:p w:rsidR="00317880" w:rsidRPr="00317880" w:rsidRDefault="00317880" w:rsidP="00D64182">
      <w:pPr>
        <w:pStyle w:val="Body"/>
        <w:jc w:val="both"/>
        <w:rPr>
          <w:b/>
          <w:color w:val="242021"/>
          <w:u w:color="242021"/>
        </w:rPr>
      </w:pPr>
      <w:r w:rsidRPr="00317880">
        <w:rPr>
          <w:b/>
          <w:color w:val="242021"/>
          <w:u w:color="242021"/>
        </w:rPr>
        <w:t>Conclusion</w:t>
      </w:r>
    </w:p>
    <w:p w:rsidR="002F5197" w:rsidRDefault="00BA68B3" w:rsidP="00A045B9">
      <w:pPr>
        <w:jc w:val="both"/>
        <w:rPr>
          <w:rFonts w:eastAsia="Times New Roman" w:cstheme="minorHAnsi"/>
          <w:color w:val="070707"/>
          <w:lang w:val="en-US" w:eastAsia="bg-BG"/>
        </w:rPr>
      </w:pPr>
      <w:r>
        <w:rPr>
          <w:rFonts w:eastAsia="Times New Roman" w:cstheme="minorHAnsi"/>
          <w:color w:val="070707"/>
          <w:lang w:val="en-US" w:eastAsia="bg-BG"/>
        </w:rPr>
        <w:t>This article aime</w:t>
      </w:r>
      <w:r w:rsidR="00DB2E52">
        <w:rPr>
          <w:rFonts w:eastAsia="Times New Roman" w:cstheme="minorHAnsi"/>
          <w:color w:val="070707"/>
          <w:lang w:val="en-US" w:eastAsia="bg-BG"/>
        </w:rPr>
        <w:t>d to demonstrate the persistenc</w:t>
      </w:r>
      <w:r w:rsidR="00DB2E52">
        <w:rPr>
          <w:rFonts w:eastAsia="Times New Roman" w:cstheme="minorHAnsi"/>
          <w:color w:val="070707"/>
          <w:lang w:eastAsia="bg-BG"/>
        </w:rPr>
        <w:t>е</w:t>
      </w:r>
      <w:r>
        <w:rPr>
          <w:rFonts w:eastAsia="Times New Roman" w:cstheme="minorHAnsi"/>
          <w:color w:val="070707"/>
          <w:lang w:val="en-US" w:eastAsia="bg-BG"/>
        </w:rPr>
        <w:t xml:space="preserve"> of what I called spokespersonship model of mental health activism and advocacy in Bulgaria</w:t>
      </w:r>
      <w:r w:rsidR="00DB2E52">
        <w:rPr>
          <w:rFonts w:eastAsia="Times New Roman" w:cstheme="minorHAnsi"/>
          <w:color w:val="070707"/>
          <w:lang w:eastAsia="bg-BG"/>
        </w:rPr>
        <w:t xml:space="preserve"> </w:t>
      </w:r>
      <w:r w:rsidR="00DB2E52">
        <w:rPr>
          <w:rFonts w:eastAsia="Times New Roman" w:cstheme="minorHAnsi"/>
          <w:color w:val="070707"/>
          <w:lang w:val="en-US" w:eastAsia="bg-BG"/>
        </w:rPr>
        <w:t>that emerged</w:t>
      </w:r>
      <w:r>
        <w:rPr>
          <w:rFonts w:eastAsia="Times New Roman" w:cstheme="minorHAnsi"/>
          <w:color w:val="070707"/>
          <w:lang w:val="en-US" w:eastAsia="bg-BG"/>
        </w:rPr>
        <w:t xml:space="preserve"> in </w:t>
      </w:r>
      <w:r w:rsidR="00947CED">
        <w:rPr>
          <w:rFonts w:eastAsia="Times New Roman" w:cstheme="minorHAnsi"/>
          <w:color w:val="070707"/>
          <w:lang w:val="en-US" w:eastAsia="bg-BG"/>
        </w:rPr>
        <w:t xml:space="preserve">the </w:t>
      </w:r>
      <w:r>
        <w:rPr>
          <w:rFonts w:eastAsia="Times New Roman" w:cstheme="minorHAnsi"/>
          <w:color w:val="070707"/>
          <w:lang w:val="en-US" w:eastAsia="bg-BG"/>
        </w:rPr>
        <w:t xml:space="preserve">late socialism and </w:t>
      </w:r>
      <w:r w:rsidR="00DB2E52">
        <w:rPr>
          <w:rFonts w:eastAsia="Times New Roman" w:cstheme="minorHAnsi"/>
          <w:color w:val="070707"/>
          <w:lang w:val="en-US" w:eastAsia="bg-BG"/>
        </w:rPr>
        <w:t xml:space="preserve">was further entrenched </w:t>
      </w:r>
      <w:r>
        <w:rPr>
          <w:rFonts w:eastAsia="Times New Roman" w:cstheme="minorHAnsi"/>
          <w:color w:val="070707"/>
          <w:lang w:val="en-US" w:eastAsia="bg-BG"/>
        </w:rPr>
        <w:t>during the transition. This model produces and enacts a pattern which consists in claiming and staging allyship on the part of the professionals towards people with psychiatric diagnoses.</w:t>
      </w:r>
      <w:r w:rsidR="002F5197">
        <w:rPr>
          <w:rFonts w:eastAsia="Times New Roman" w:cstheme="minorHAnsi"/>
          <w:color w:val="070707"/>
          <w:lang w:val="en-US" w:eastAsia="bg-BG"/>
        </w:rPr>
        <w:t xml:space="preserve"> This pattern, I believe, is one of the key factors making paternalism in this field so inexorable.</w:t>
      </w:r>
      <w:r>
        <w:rPr>
          <w:rFonts w:eastAsia="Times New Roman" w:cstheme="minorHAnsi"/>
          <w:color w:val="070707"/>
          <w:lang w:val="en-US" w:eastAsia="bg-BG"/>
        </w:rPr>
        <w:t xml:space="preserve"> </w:t>
      </w:r>
    </w:p>
    <w:p w:rsidR="00DC0326" w:rsidRDefault="002F5197" w:rsidP="002F5197">
      <w:pPr>
        <w:jc w:val="both"/>
        <w:rPr>
          <w:rFonts w:eastAsia="Times New Roman" w:cstheme="minorHAnsi"/>
          <w:color w:val="070707"/>
          <w:lang w:val="en-US" w:eastAsia="bg-BG"/>
        </w:rPr>
      </w:pPr>
      <w:r>
        <w:rPr>
          <w:rFonts w:eastAsia="Times New Roman" w:cstheme="minorHAnsi"/>
          <w:color w:val="070707"/>
          <w:lang w:val="en-US" w:eastAsia="bg-BG"/>
        </w:rPr>
        <w:t>Within this model t</w:t>
      </w:r>
      <w:r w:rsidR="00BA68B3">
        <w:rPr>
          <w:rFonts w:eastAsia="Times New Roman" w:cstheme="minorHAnsi"/>
          <w:color w:val="070707"/>
          <w:lang w:val="en-US" w:eastAsia="bg-BG"/>
        </w:rPr>
        <w:t>he professionals construct themselves as benevolent spokespersons, compassionately and selfl</w:t>
      </w:r>
      <w:r w:rsidR="0035325B">
        <w:rPr>
          <w:rFonts w:eastAsia="Times New Roman" w:cstheme="minorHAnsi"/>
          <w:color w:val="070707"/>
          <w:lang w:val="en-US" w:eastAsia="bg-BG"/>
        </w:rPr>
        <w:t xml:space="preserve">essly advocating </w:t>
      </w:r>
      <w:r w:rsidR="00BA68B3">
        <w:rPr>
          <w:rFonts w:eastAsia="Times New Roman" w:cstheme="minorHAnsi"/>
          <w:color w:val="070707"/>
          <w:lang w:val="en-US" w:eastAsia="bg-BG"/>
        </w:rPr>
        <w:t>for the well-being, rights and flourishing of their patients. What is spe</w:t>
      </w:r>
      <w:r w:rsidR="0035325B">
        <w:rPr>
          <w:rFonts w:eastAsia="Times New Roman" w:cstheme="minorHAnsi"/>
          <w:color w:val="070707"/>
          <w:lang w:val="en-US" w:eastAsia="bg-BG"/>
        </w:rPr>
        <w:t xml:space="preserve">cific is that they frame their position as grounded in an inherent </w:t>
      </w:r>
      <w:r w:rsidR="00BA68B3">
        <w:rPr>
          <w:rFonts w:eastAsia="Times New Roman" w:cstheme="minorHAnsi"/>
          <w:color w:val="070707"/>
          <w:lang w:val="en-US" w:eastAsia="bg-BG"/>
        </w:rPr>
        <w:t xml:space="preserve">alliance </w:t>
      </w:r>
      <w:r w:rsidR="00033DD1">
        <w:rPr>
          <w:rFonts w:eastAsia="Times New Roman" w:cstheme="minorHAnsi"/>
          <w:color w:val="070707"/>
          <w:lang w:val="en-US" w:eastAsia="bg-BG"/>
        </w:rPr>
        <w:t>with the patients since both groups</w:t>
      </w:r>
      <w:r w:rsidR="0035325B">
        <w:rPr>
          <w:rFonts w:eastAsia="Times New Roman" w:cstheme="minorHAnsi"/>
          <w:color w:val="070707"/>
          <w:lang w:val="en-US" w:eastAsia="bg-BG"/>
        </w:rPr>
        <w:t xml:space="preserve"> </w:t>
      </w:r>
      <w:r w:rsidR="00BA68B3">
        <w:rPr>
          <w:rFonts w:eastAsia="Times New Roman" w:cstheme="minorHAnsi"/>
          <w:color w:val="070707"/>
          <w:lang w:val="en-US" w:eastAsia="bg-BG"/>
        </w:rPr>
        <w:t xml:space="preserve">share </w:t>
      </w:r>
      <w:r w:rsidR="0035325B">
        <w:rPr>
          <w:rFonts w:eastAsia="Times New Roman" w:cstheme="minorHAnsi"/>
          <w:color w:val="070707"/>
          <w:lang w:val="en-US" w:eastAsia="bg-BG"/>
        </w:rPr>
        <w:t xml:space="preserve">the same </w:t>
      </w:r>
      <w:r w:rsidR="00BA68B3">
        <w:rPr>
          <w:rFonts w:eastAsia="Times New Roman" w:cstheme="minorHAnsi"/>
          <w:color w:val="070707"/>
          <w:lang w:val="en-US" w:eastAsia="bg-BG"/>
        </w:rPr>
        <w:t xml:space="preserve">destiny </w:t>
      </w:r>
      <w:r w:rsidR="00033DD1">
        <w:rPr>
          <w:rFonts w:eastAsia="Times New Roman" w:cstheme="minorHAnsi"/>
          <w:color w:val="070707"/>
          <w:lang w:val="en-US" w:eastAsia="bg-BG"/>
        </w:rPr>
        <w:t>of</w:t>
      </w:r>
      <w:r w:rsidR="00DB2E52">
        <w:rPr>
          <w:rFonts w:eastAsia="Times New Roman" w:cstheme="minorHAnsi"/>
          <w:color w:val="070707"/>
          <w:lang w:val="en-US" w:eastAsia="bg-BG"/>
        </w:rPr>
        <w:t xml:space="preserve"> stigmatisation, marginalis</w:t>
      </w:r>
      <w:r w:rsidR="00BA68B3">
        <w:rPr>
          <w:rFonts w:eastAsia="Times New Roman" w:cstheme="minorHAnsi"/>
          <w:color w:val="070707"/>
          <w:lang w:val="en-US" w:eastAsia="bg-BG"/>
        </w:rPr>
        <w:t xml:space="preserve">ation and abandonment </w:t>
      </w:r>
      <w:r w:rsidR="00DB2E52">
        <w:rPr>
          <w:rFonts w:eastAsia="Times New Roman" w:cstheme="minorHAnsi"/>
          <w:color w:val="070707"/>
          <w:lang w:val="en-US" w:eastAsia="bg-BG"/>
        </w:rPr>
        <w:t>on the part of</w:t>
      </w:r>
      <w:r w:rsidR="00BA68B3">
        <w:rPr>
          <w:rFonts w:eastAsia="Times New Roman" w:cstheme="minorHAnsi"/>
          <w:color w:val="070707"/>
          <w:lang w:val="en-US" w:eastAsia="bg-BG"/>
        </w:rPr>
        <w:t xml:space="preserve"> the state and the general public. </w:t>
      </w:r>
      <w:r w:rsidR="006313DA">
        <w:rPr>
          <w:rFonts w:eastAsia="Times New Roman" w:cstheme="minorHAnsi"/>
          <w:color w:val="070707"/>
          <w:lang w:val="en-US" w:eastAsia="bg-BG"/>
        </w:rPr>
        <w:t xml:space="preserve">Relying on the imagery of a shared hardship, it becomes quite easy to assume the role of a veritable and devoted spokesperson and, respectively, to </w:t>
      </w:r>
      <w:r>
        <w:rPr>
          <w:rFonts w:eastAsia="Times New Roman" w:cstheme="minorHAnsi"/>
          <w:color w:val="070707"/>
          <w:lang w:val="en-US" w:eastAsia="bg-BG"/>
        </w:rPr>
        <w:t>conceal</w:t>
      </w:r>
      <w:r w:rsidR="006313DA">
        <w:rPr>
          <w:rFonts w:eastAsia="Times New Roman" w:cstheme="minorHAnsi"/>
          <w:color w:val="070707"/>
          <w:lang w:val="en-US" w:eastAsia="bg-BG"/>
        </w:rPr>
        <w:t xml:space="preserve"> </w:t>
      </w:r>
      <w:r w:rsidR="00DC0326">
        <w:rPr>
          <w:rFonts w:eastAsia="Times New Roman" w:cstheme="minorHAnsi"/>
          <w:color w:val="070707"/>
          <w:lang w:val="en-US" w:eastAsia="bg-BG"/>
        </w:rPr>
        <w:t>its</w:t>
      </w:r>
      <w:r w:rsidR="006313DA">
        <w:rPr>
          <w:rFonts w:eastAsia="Times New Roman" w:cstheme="minorHAnsi"/>
          <w:color w:val="070707"/>
          <w:lang w:val="en-US" w:eastAsia="bg-BG"/>
        </w:rPr>
        <w:t xml:space="preserve"> inevitable </w:t>
      </w:r>
      <w:r w:rsidR="00DB2E52">
        <w:rPr>
          <w:rFonts w:eastAsia="Times New Roman" w:cstheme="minorHAnsi"/>
          <w:color w:val="070707"/>
          <w:lang w:val="en-US" w:eastAsia="bg-BG"/>
        </w:rPr>
        <w:t>har</w:t>
      </w:r>
      <w:r w:rsidR="00DC0326">
        <w:rPr>
          <w:rFonts w:eastAsia="Times New Roman" w:cstheme="minorHAnsi"/>
          <w:color w:val="070707"/>
          <w:lang w:val="en-US" w:eastAsia="bg-BG"/>
        </w:rPr>
        <w:t xml:space="preserve">mful </w:t>
      </w:r>
      <w:r w:rsidR="006313DA">
        <w:rPr>
          <w:rFonts w:eastAsia="Times New Roman" w:cstheme="minorHAnsi"/>
          <w:color w:val="070707"/>
          <w:lang w:val="en-US" w:eastAsia="bg-BG"/>
        </w:rPr>
        <w:t>effect</w:t>
      </w:r>
      <w:r w:rsidR="00DC0326">
        <w:rPr>
          <w:rFonts w:eastAsia="Times New Roman" w:cstheme="minorHAnsi"/>
          <w:color w:val="070707"/>
          <w:lang w:val="en-US" w:eastAsia="bg-BG"/>
        </w:rPr>
        <w:t>, namely</w:t>
      </w:r>
      <w:r w:rsidR="006313DA">
        <w:rPr>
          <w:rFonts w:eastAsia="Times New Roman" w:cstheme="minorHAnsi"/>
          <w:color w:val="070707"/>
          <w:lang w:val="en-US" w:eastAsia="bg-BG"/>
        </w:rPr>
        <w:t xml:space="preserve"> that it silences and usurps the voices of those spoken for. </w:t>
      </w:r>
    </w:p>
    <w:p w:rsidR="00033DD1" w:rsidRPr="00033DD1" w:rsidRDefault="00D00190" w:rsidP="00A22D37">
      <w:pPr>
        <w:jc w:val="both"/>
        <w:rPr>
          <w:rFonts w:cstheme="minorHAnsi"/>
          <w:color w:val="070707"/>
        </w:rPr>
      </w:pPr>
      <w:r>
        <w:rPr>
          <w:rFonts w:eastAsia="Times New Roman" w:cstheme="minorHAnsi"/>
          <w:color w:val="070707"/>
          <w:lang w:val="en-US" w:eastAsia="bg-BG"/>
        </w:rPr>
        <w:t xml:space="preserve">Appropriation of the voices of the people experiencing mental distress and their displacement with </w:t>
      </w:r>
      <w:r>
        <w:rPr>
          <w:rFonts w:eastAsia="Times New Roman" w:cstheme="minorHAnsi"/>
          <w:color w:val="070707"/>
          <w:lang w:eastAsia="bg-BG"/>
        </w:rPr>
        <w:t>„</w:t>
      </w:r>
      <w:r>
        <w:rPr>
          <w:rFonts w:eastAsia="Times New Roman" w:cstheme="minorHAnsi"/>
          <w:color w:val="070707"/>
          <w:lang w:val="en-US" w:eastAsia="bg-BG"/>
        </w:rPr>
        <w:t>professionalized mechanism in which others were given the role of speaking for you, advocating on your behalf, mediating</w:t>
      </w:r>
      <w:r w:rsidRPr="00C94E83">
        <w:rPr>
          <w:rFonts w:eastAsia="Times New Roman" w:cstheme="minorHAnsi"/>
          <w:color w:val="070707"/>
          <w:lang w:eastAsia="bg-BG"/>
        </w:rPr>
        <w:t xml:space="preserve"> </w:t>
      </w:r>
      <w:r w:rsidRPr="00426F7D">
        <w:rPr>
          <w:rFonts w:eastAsia="Times New Roman" w:cstheme="minorHAnsi"/>
          <w:color w:val="070707"/>
          <w:lang w:eastAsia="bg-BG"/>
        </w:rPr>
        <w:t>between parties all of whom</w:t>
      </w:r>
      <w:r w:rsidRPr="00426F7D">
        <w:rPr>
          <w:rFonts w:eastAsia="Times New Roman" w:cstheme="minorHAnsi"/>
          <w:color w:val="070707"/>
          <w:lang w:val="en-US" w:eastAsia="bg-BG"/>
        </w:rPr>
        <w:t xml:space="preserve"> were considered to have the best interests of the patients at heart</w:t>
      </w:r>
      <w:r>
        <w:rPr>
          <w:rFonts w:eastAsia="Times New Roman" w:cstheme="minorHAnsi"/>
          <w:color w:val="070707"/>
          <w:lang w:eastAsia="bg-BG"/>
        </w:rPr>
        <w:t>”</w:t>
      </w:r>
      <w:r w:rsidR="00DC0326">
        <w:rPr>
          <w:rFonts w:eastAsia="Times New Roman" w:cstheme="minorHAnsi"/>
          <w:color w:val="070707"/>
          <w:lang w:val="en-US" w:eastAsia="bg-BG"/>
        </w:rPr>
        <w:t xml:space="preserve"> </w:t>
      </w:r>
      <w:r>
        <w:rPr>
          <w:rFonts w:eastAsia="Times New Roman" w:cstheme="minorHAnsi"/>
          <w:color w:val="070707"/>
          <w:lang w:val="en-US" w:eastAsia="bg-BG"/>
        </w:rPr>
        <w:t>(Rose</w:t>
      </w:r>
      <w:r w:rsidR="00DC0326">
        <w:rPr>
          <w:rFonts w:eastAsia="Times New Roman" w:cstheme="minorHAnsi"/>
          <w:color w:val="070707"/>
          <w:lang w:val="en-US" w:eastAsia="bg-BG"/>
        </w:rPr>
        <w:t xml:space="preserve"> 2019, 160</w:t>
      </w:r>
      <w:r>
        <w:rPr>
          <w:rFonts w:eastAsia="Times New Roman" w:cstheme="minorHAnsi"/>
          <w:color w:val="070707"/>
          <w:lang w:val="en-US" w:eastAsia="bg-BG"/>
        </w:rPr>
        <w:t xml:space="preserve">) is a reality also for the Western context. </w:t>
      </w:r>
      <w:r>
        <w:rPr>
          <w:rFonts w:cstheme="minorHAnsi"/>
          <w:color w:val="070707"/>
          <w:lang w:val="en-US"/>
        </w:rPr>
        <w:t>But in the local post-socialist context mental health activism knows no alternative</w:t>
      </w:r>
      <w:r w:rsidR="00DC0326">
        <w:rPr>
          <w:rFonts w:cstheme="minorHAnsi"/>
          <w:color w:val="070707"/>
          <w:lang w:val="en-US"/>
        </w:rPr>
        <w:t xml:space="preserve"> and t</w:t>
      </w:r>
      <w:r>
        <w:rPr>
          <w:rFonts w:cstheme="minorHAnsi"/>
          <w:color w:val="070707"/>
          <w:lang w:val="en-US"/>
        </w:rPr>
        <w:t xml:space="preserve">hat is why </w:t>
      </w:r>
      <w:r w:rsidR="00DC0326">
        <w:rPr>
          <w:rFonts w:cstheme="minorHAnsi"/>
          <w:color w:val="070707"/>
          <w:lang w:val="en-US"/>
        </w:rPr>
        <w:t>th</w:t>
      </w:r>
      <w:r w:rsidR="005C1141">
        <w:rPr>
          <w:rFonts w:cstheme="minorHAnsi"/>
          <w:color w:val="070707"/>
          <w:lang w:val="en-US"/>
        </w:rPr>
        <w:t>e spokespersons pattern could not even be recognised as oppressive and paternalistic.</w:t>
      </w:r>
      <w:r w:rsidR="00033DD1">
        <w:rPr>
          <w:rFonts w:cstheme="minorHAnsi"/>
          <w:color w:val="070707"/>
          <w:lang w:val="en-US"/>
        </w:rPr>
        <w:t xml:space="preserve"> On the contrary: the most recent instances of advocacy additionally embedded themselves in the most progressive framework available up to now, that is UNCPRD, thus creating the impression </w:t>
      </w:r>
      <w:r w:rsidR="00E132BE">
        <w:rPr>
          <w:rFonts w:cstheme="minorHAnsi"/>
          <w:color w:val="070707"/>
          <w:lang w:val="en-US"/>
        </w:rPr>
        <w:t>of being devoted exactly to give back the voices to the service users.</w:t>
      </w:r>
    </w:p>
    <w:p w:rsidR="00A22D37" w:rsidRPr="00965DBE" w:rsidRDefault="00E132BE" w:rsidP="00A22D37">
      <w:pPr>
        <w:jc w:val="both"/>
      </w:pPr>
      <w:r>
        <w:rPr>
          <w:rFonts w:cstheme="minorHAnsi"/>
          <w:color w:val="070707"/>
          <w:lang w:val="en-US"/>
        </w:rPr>
        <w:t>This model benefits greatly also from its</w:t>
      </w:r>
      <w:r w:rsidR="005C1141">
        <w:rPr>
          <w:rFonts w:cstheme="minorHAnsi"/>
          <w:color w:val="070707"/>
          <w:lang w:val="en-US"/>
        </w:rPr>
        <w:t xml:space="preserve"> capacity to </w:t>
      </w:r>
      <w:r w:rsidR="00D00190">
        <w:rPr>
          <w:rFonts w:cstheme="minorHAnsi"/>
          <w:color w:val="070707"/>
          <w:lang w:val="en-US"/>
        </w:rPr>
        <w:t xml:space="preserve">exploit </w:t>
      </w:r>
      <w:r>
        <w:rPr>
          <w:rFonts w:cstheme="minorHAnsi"/>
          <w:color w:val="070707"/>
          <w:lang w:val="en-US"/>
        </w:rPr>
        <w:t xml:space="preserve">and successfully attune to </w:t>
      </w:r>
      <w:r w:rsidR="00D00190">
        <w:rPr>
          <w:rFonts w:cstheme="minorHAnsi"/>
          <w:color w:val="070707"/>
          <w:lang w:val="en-US"/>
        </w:rPr>
        <w:t xml:space="preserve">the features of the changing political </w:t>
      </w:r>
      <w:r w:rsidR="005C1141">
        <w:rPr>
          <w:rFonts w:cstheme="minorHAnsi"/>
          <w:color w:val="070707"/>
          <w:lang w:val="en-US"/>
        </w:rPr>
        <w:t>landscapes</w:t>
      </w:r>
      <w:r w:rsidR="00D00190">
        <w:rPr>
          <w:rFonts w:cstheme="minorHAnsi"/>
          <w:color w:val="070707"/>
          <w:lang w:val="en-US"/>
        </w:rPr>
        <w:t xml:space="preserve">. </w:t>
      </w:r>
      <w:r w:rsidR="005C1141">
        <w:rPr>
          <w:rFonts w:cstheme="minorHAnsi"/>
          <w:color w:val="070707"/>
          <w:lang w:val="en-US"/>
        </w:rPr>
        <w:t>I</w:t>
      </w:r>
      <w:r w:rsidR="002F5197">
        <w:rPr>
          <w:rFonts w:cstheme="minorHAnsi"/>
          <w:color w:val="070707"/>
          <w:lang w:val="en-US"/>
        </w:rPr>
        <w:t xml:space="preserve">t took advantage from and adapted to the </w:t>
      </w:r>
      <w:r w:rsidR="005C1141">
        <w:rPr>
          <w:rFonts w:cstheme="minorHAnsi"/>
          <w:color w:val="070707"/>
          <w:lang w:val="en-US"/>
        </w:rPr>
        <w:t>alleged fundamental revaluation of all socialist values</w:t>
      </w:r>
      <w:r w:rsidR="002F5197">
        <w:rPr>
          <w:rFonts w:cstheme="minorHAnsi"/>
          <w:color w:val="070707"/>
          <w:lang w:val="en-US"/>
        </w:rPr>
        <w:t xml:space="preserve">. </w:t>
      </w:r>
      <w:r w:rsidR="00B25A76">
        <w:rPr>
          <w:rFonts w:cstheme="minorHAnsi"/>
          <w:lang w:val="en-US"/>
        </w:rPr>
        <w:t xml:space="preserve">This could be seen in the </w:t>
      </w:r>
      <w:r w:rsidR="002F5197" w:rsidRPr="00426F7D">
        <w:rPr>
          <w:rFonts w:cstheme="minorHAnsi"/>
        </w:rPr>
        <w:t xml:space="preserve">three </w:t>
      </w:r>
      <w:r w:rsidR="002F5197">
        <w:rPr>
          <w:rFonts w:cstheme="minorHAnsi"/>
          <w:lang w:val="en-US"/>
        </w:rPr>
        <w:t>cases</w:t>
      </w:r>
      <w:r w:rsidR="005C1141">
        <w:rPr>
          <w:rFonts w:cstheme="minorHAnsi"/>
        </w:rPr>
        <w:t xml:space="preserve"> discussed </w:t>
      </w:r>
      <w:r w:rsidR="005C1141">
        <w:rPr>
          <w:rFonts w:cstheme="minorHAnsi"/>
          <w:lang w:val="en-US"/>
        </w:rPr>
        <w:t>in the article</w:t>
      </w:r>
      <w:r w:rsidR="002F5197" w:rsidRPr="00426F7D">
        <w:rPr>
          <w:rFonts w:cstheme="minorHAnsi"/>
        </w:rPr>
        <w:t xml:space="preserve">. </w:t>
      </w:r>
      <w:r w:rsidR="00647805">
        <w:rPr>
          <w:rFonts w:cstheme="minorHAnsi"/>
          <w:color w:val="070707"/>
          <w:lang w:val="en-US"/>
        </w:rPr>
        <w:t xml:space="preserve">The </w:t>
      </w:r>
      <w:r w:rsidR="00E5632F">
        <w:rPr>
          <w:lang w:val="en-US"/>
        </w:rPr>
        <w:t>spokespersonship</w:t>
      </w:r>
      <w:r w:rsidR="002C7A02">
        <w:rPr>
          <w:lang w:val="en-US"/>
        </w:rPr>
        <w:t xml:space="preserve"> </w:t>
      </w:r>
      <w:r w:rsidR="00647805">
        <w:rPr>
          <w:lang w:val="en-US"/>
        </w:rPr>
        <w:t xml:space="preserve">model </w:t>
      </w:r>
      <w:r w:rsidR="002C7A02">
        <w:rPr>
          <w:lang w:val="en-US"/>
        </w:rPr>
        <w:t>pass</w:t>
      </w:r>
      <w:r w:rsidR="00E5632F">
        <w:rPr>
          <w:lang w:val="en-US"/>
        </w:rPr>
        <w:t>ed</w:t>
      </w:r>
      <w:r w:rsidR="00647805">
        <w:rPr>
          <w:lang w:val="en-US"/>
        </w:rPr>
        <w:t xml:space="preserve"> from</w:t>
      </w:r>
      <w:r w:rsidR="002C7A02">
        <w:rPr>
          <w:lang w:val="en-US"/>
        </w:rPr>
        <w:t xml:space="preserve"> silencing of patients’ voices to self-proclaimed advocacy in </w:t>
      </w:r>
      <w:r w:rsidR="002C7A02">
        <w:rPr>
          <w:lang w:val="en-US"/>
        </w:rPr>
        <w:lastRenderedPageBreak/>
        <w:t>their na</w:t>
      </w:r>
      <w:r w:rsidR="008E0BC3">
        <w:rPr>
          <w:lang w:val="en-US"/>
        </w:rPr>
        <w:t>me to a straightforward claim that the professionals are</w:t>
      </w:r>
      <w:r w:rsidR="002C7A02">
        <w:rPr>
          <w:lang w:val="en-US"/>
        </w:rPr>
        <w:t xml:space="preserve"> </w:t>
      </w:r>
      <w:r>
        <w:rPr>
          <w:lang w:val="en-US"/>
        </w:rPr>
        <w:t xml:space="preserve">the ones that </w:t>
      </w:r>
      <w:r w:rsidR="002C7A02">
        <w:rPr>
          <w:lang w:val="en-US"/>
        </w:rPr>
        <w:t>endow</w:t>
      </w:r>
      <w:r w:rsidR="00647805">
        <w:rPr>
          <w:lang w:val="en-US"/>
        </w:rPr>
        <w:t xml:space="preserve"> </w:t>
      </w:r>
      <w:r w:rsidR="002C7A02">
        <w:rPr>
          <w:lang w:val="en-US"/>
        </w:rPr>
        <w:t xml:space="preserve">with identity and </w:t>
      </w:r>
      <w:r w:rsidR="00647805">
        <w:rPr>
          <w:lang w:val="en-US"/>
        </w:rPr>
        <w:t>humanity</w:t>
      </w:r>
      <w:r w:rsidR="00E5632F">
        <w:rPr>
          <w:lang w:val="en-US"/>
        </w:rPr>
        <w:t>. It is important</w:t>
      </w:r>
      <w:r w:rsidR="00647805">
        <w:rPr>
          <w:lang w:val="en-US"/>
        </w:rPr>
        <w:t>,</w:t>
      </w:r>
      <w:r w:rsidR="00E5632F">
        <w:rPr>
          <w:lang w:val="en-US"/>
        </w:rPr>
        <w:t xml:space="preserve"> however</w:t>
      </w:r>
      <w:r w:rsidR="00647805">
        <w:rPr>
          <w:lang w:val="en-US"/>
        </w:rPr>
        <w:t>,</w:t>
      </w:r>
      <w:r w:rsidR="00E5632F">
        <w:rPr>
          <w:lang w:val="en-US"/>
        </w:rPr>
        <w:t xml:space="preserve"> that in the first</w:t>
      </w:r>
      <w:r w:rsidR="00647805">
        <w:rPr>
          <w:lang w:val="en-US"/>
        </w:rPr>
        <w:t xml:space="preserve"> – socialist –</w:t>
      </w:r>
      <w:r w:rsidR="00E5632F">
        <w:rPr>
          <w:lang w:val="en-US"/>
        </w:rPr>
        <w:t xml:space="preserve"> </w:t>
      </w:r>
      <w:r w:rsidR="00647805">
        <w:rPr>
          <w:lang w:val="en-US"/>
        </w:rPr>
        <w:t>case</w:t>
      </w:r>
      <w:r w:rsidR="005D3BAB">
        <w:rPr>
          <w:lang w:val="en-US"/>
        </w:rPr>
        <w:t xml:space="preserve"> the displacement </w:t>
      </w:r>
      <w:r w:rsidR="00E5632F">
        <w:rPr>
          <w:lang w:val="en-US"/>
        </w:rPr>
        <w:t xml:space="preserve">was </w:t>
      </w:r>
      <w:r w:rsidR="005D3BAB">
        <w:rPr>
          <w:lang w:val="en-US"/>
        </w:rPr>
        <w:t>an expected and predictable element within the patient-physician relationship, while in the two cases that followed,</w:t>
      </w:r>
      <w:r w:rsidR="008E0BC3">
        <w:rPr>
          <w:lang w:val="en-US"/>
        </w:rPr>
        <w:t xml:space="preserve"> the displacement</w:t>
      </w:r>
      <w:r w:rsidR="00E5632F">
        <w:rPr>
          <w:lang w:val="en-US"/>
        </w:rPr>
        <w:t xml:space="preserve"> c</w:t>
      </w:r>
      <w:r w:rsidR="008E0BC3">
        <w:rPr>
          <w:lang w:val="en-US"/>
        </w:rPr>
        <w:t>omes</w:t>
      </w:r>
      <w:r w:rsidR="005D3BAB">
        <w:rPr>
          <w:lang w:val="en-US"/>
        </w:rPr>
        <w:t xml:space="preserve"> despite the explicit awareness – even condemnation – of the dangers, hidden in it. This leaves </w:t>
      </w:r>
      <w:r w:rsidR="00965DBE">
        <w:rPr>
          <w:lang w:val="en-US"/>
        </w:rPr>
        <w:t xml:space="preserve">little hope that the paternalistic profile of the local mental health landscape could be easily fought. </w:t>
      </w:r>
    </w:p>
    <w:p w:rsidR="00A22D37" w:rsidRDefault="00A22D37" w:rsidP="00A22D37">
      <w:pPr>
        <w:jc w:val="both"/>
      </w:pPr>
    </w:p>
    <w:p w:rsidR="00A22D37" w:rsidRDefault="00A22D37" w:rsidP="00A22D37">
      <w:pPr>
        <w:jc w:val="both"/>
      </w:pPr>
    </w:p>
    <w:p w:rsidR="00A22D37" w:rsidRDefault="00915D3D" w:rsidP="00A22D37">
      <w:pPr>
        <w:jc w:val="both"/>
      </w:pPr>
      <w:r w:rsidRPr="00915D3D">
        <w:rPr>
          <w:rFonts w:cstheme="minorHAnsi"/>
          <w:b/>
          <w:lang w:val="en-GB"/>
        </w:rPr>
        <w:t>Acknowledgments</w:t>
      </w:r>
    </w:p>
    <w:p w:rsidR="00915D3D" w:rsidRPr="00A22D37" w:rsidRDefault="00915D3D" w:rsidP="00A22D37">
      <w:pPr>
        <w:jc w:val="both"/>
        <w:rPr>
          <w:lang w:val="en-US"/>
        </w:rPr>
      </w:pPr>
      <w:r w:rsidRPr="00915D3D">
        <w:rPr>
          <w:rFonts w:cstheme="minorHAnsi"/>
          <w:lang w:val="en-GB"/>
        </w:rPr>
        <w:t xml:space="preserve">I </w:t>
      </w:r>
      <w:r>
        <w:rPr>
          <w:rFonts w:cstheme="minorHAnsi"/>
          <w:lang w:val="en-GB"/>
        </w:rPr>
        <w:t xml:space="preserve">am grateful to Teodor Mladenov and Monika Baar </w:t>
      </w:r>
      <w:r w:rsidR="00C26988">
        <w:rPr>
          <w:rFonts w:cstheme="minorHAnsi"/>
          <w:color w:val="222222"/>
          <w:shd w:val="clear" w:color="auto" w:fill="FFFFFF"/>
          <w:lang w:val="en-GB"/>
        </w:rPr>
        <w:t>whose comments</w:t>
      </w:r>
      <w:r w:rsidR="007F6E59">
        <w:rPr>
          <w:rFonts w:cstheme="minorHAnsi"/>
          <w:color w:val="222222"/>
          <w:shd w:val="clear" w:color="auto" w:fill="FFFFFF"/>
          <w:lang w:val="en-GB"/>
        </w:rPr>
        <w:t xml:space="preserve"> greatly helped to improve the</w:t>
      </w:r>
      <w:r w:rsidR="007F6E59">
        <w:rPr>
          <w:rFonts w:cstheme="minorHAnsi"/>
          <w:color w:val="222222"/>
          <w:shd w:val="clear" w:color="auto" w:fill="FFFFFF"/>
          <w:lang w:val="en-US"/>
        </w:rPr>
        <w:t xml:space="preserve"> article</w:t>
      </w:r>
      <w:r w:rsidRPr="00915D3D">
        <w:rPr>
          <w:rFonts w:cstheme="minorHAnsi"/>
          <w:color w:val="222222"/>
          <w:shd w:val="clear" w:color="auto" w:fill="FFFFFF"/>
          <w:lang w:val="en-GB"/>
        </w:rPr>
        <w:t xml:space="preserve">. </w:t>
      </w:r>
    </w:p>
    <w:p w:rsidR="00B6595F" w:rsidRDefault="00B6595F" w:rsidP="00AA26E5">
      <w:pPr>
        <w:jc w:val="both"/>
        <w:rPr>
          <w:lang w:val="en-US"/>
        </w:rPr>
      </w:pPr>
    </w:p>
    <w:p w:rsidR="00B6595F" w:rsidRDefault="00B6595F" w:rsidP="00AA26E5">
      <w:pPr>
        <w:jc w:val="both"/>
        <w:rPr>
          <w:lang w:val="en-US"/>
        </w:rPr>
      </w:pPr>
    </w:p>
    <w:p w:rsidR="00E5563D" w:rsidRPr="009B5C2E" w:rsidRDefault="00FF4611" w:rsidP="00E5563D">
      <w:pPr>
        <w:pStyle w:val="Body"/>
        <w:jc w:val="both"/>
        <w:rPr>
          <w:rFonts w:asciiTheme="minorHAnsi" w:hAnsiTheme="minorHAnsi" w:cstheme="minorHAnsi"/>
          <w:b/>
          <w:bCs/>
        </w:rPr>
      </w:pPr>
      <w:r w:rsidRPr="009B5C2E">
        <w:rPr>
          <w:rFonts w:asciiTheme="minorHAnsi" w:hAnsiTheme="minorHAnsi" w:cstheme="minorHAnsi"/>
          <w:b/>
          <w:bCs/>
        </w:rPr>
        <w:t>References</w:t>
      </w:r>
    </w:p>
    <w:p w:rsidR="00A04593" w:rsidRPr="00FF4611" w:rsidRDefault="00A04593" w:rsidP="00FF4611">
      <w:pPr>
        <w:jc w:val="both"/>
        <w:rPr>
          <w:rFonts w:cstheme="minorHAnsi"/>
          <w:lang w:val="en-US"/>
        </w:rPr>
      </w:pPr>
      <w:r w:rsidRPr="00FF4611">
        <w:rPr>
          <w:rFonts w:cstheme="minorHAnsi"/>
          <w:lang w:val="en-US"/>
        </w:rPr>
        <w:t xml:space="preserve">Achkova, Meglena. 1981. </w:t>
      </w:r>
      <w:r w:rsidR="00806358">
        <w:rPr>
          <w:rFonts w:cstheme="minorHAnsi"/>
          <w:i/>
          <w:lang w:val="en-US"/>
        </w:rPr>
        <w:t>Detskata shizofreniy</w:t>
      </w:r>
      <w:r w:rsidRPr="00FF4611">
        <w:rPr>
          <w:rFonts w:cstheme="minorHAnsi"/>
          <w:i/>
          <w:lang w:val="en-US"/>
        </w:rPr>
        <w:t>a</w:t>
      </w:r>
      <w:r>
        <w:rPr>
          <w:rFonts w:cstheme="minorHAnsi"/>
          <w:lang w:val="en-US"/>
        </w:rPr>
        <w:t xml:space="preserve"> [Child Schizophrenia]</w:t>
      </w:r>
      <w:r w:rsidRPr="00FF4611">
        <w:rPr>
          <w:rFonts w:cstheme="minorHAnsi"/>
          <w:lang w:val="en-US"/>
        </w:rPr>
        <w:t>. Sofia: Medicina i Fizkultura.</w:t>
      </w:r>
    </w:p>
    <w:p w:rsidR="00A04593" w:rsidRPr="00331FCD" w:rsidRDefault="00A04593" w:rsidP="00E5563D">
      <w:pPr>
        <w:pStyle w:val="Body"/>
        <w:jc w:val="both"/>
        <w:rPr>
          <w:rFonts w:asciiTheme="minorHAnsi" w:eastAsiaTheme="minorHAnsi" w:hAnsiTheme="minorHAnsi" w:cstheme="minorHAnsi"/>
          <w:color w:val="auto"/>
          <w:bdr w:val="none" w:sz="0" w:space="0" w:color="auto"/>
          <w:lang w:eastAsia="en-US"/>
        </w:rPr>
      </w:pPr>
      <w:r w:rsidRPr="00FF4611">
        <w:rPr>
          <w:rFonts w:asciiTheme="minorHAnsi" w:eastAsiaTheme="minorHAnsi" w:hAnsiTheme="minorHAnsi" w:cstheme="minorHAnsi"/>
          <w:bdr w:val="none" w:sz="0" w:space="0" w:color="auto"/>
          <w:lang w:eastAsia="en-US"/>
        </w:rPr>
        <w:t xml:space="preserve">Alcoff, Linda. 1991-92. </w:t>
      </w:r>
      <w:r w:rsidRPr="00FF4611">
        <w:rPr>
          <w:rFonts w:asciiTheme="minorHAnsi" w:eastAsiaTheme="minorHAnsi" w:hAnsiTheme="minorHAnsi" w:cstheme="minorHAnsi"/>
          <w:bdr w:val="none" w:sz="0" w:space="0" w:color="auto"/>
          <w:lang w:val="bg-BG" w:eastAsia="en-US"/>
        </w:rPr>
        <w:t xml:space="preserve">„The Problem of Speaking for Others.” </w:t>
      </w:r>
      <w:r w:rsidRPr="00FF4611">
        <w:rPr>
          <w:rFonts w:asciiTheme="minorHAnsi" w:eastAsiaTheme="minorHAnsi" w:hAnsiTheme="minorHAnsi" w:cstheme="minorHAnsi"/>
          <w:i/>
          <w:bdr w:val="none" w:sz="0" w:space="0" w:color="auto"/>
          <w:lang w:val="bg-BG" w:eastAsia="en-US"/>
        </w:rPr>
        <w:t>Cultural Critique</w:t>
      </w:r>
      <w:r>
        <w:rPr>
          <w:rFonts w:asciiTheme="minorHAnsi" w:eastAsiaTheme="minorHAnsi" w:hAnsiTheme="minorHAnsi" w:cstheme="minorHAnsi"/>
          <w:bdr w:val="none" w:sz="0" w:space="0" w:color="auto"/>
          <w:lang w:val="bg-BG" w:eastAsia="en-US"/>
        </w:rPr>
        <w:t>, 20:</w:t>
      </w:r>
      <w:r w:rsidRPr="00FF4611">
        <w:rPr>
          <w:rFonts w:asciiTheme="minorHAnsi" w:eastAsiaTheme="minorHAnsi" w:hAnsiTheme="minorHAnsi" w:cstheme="minorHAnsi"/>
          <w:bdr w:val="none" w:sz="0" w:space="0" w:color="auto"/>
          <w:lang w:val="bg-BG" w:eastAsia="en-US"/>
        </w:rPr>
        <w:t>5–32.</w:t>
      </w:r>
      <w:r>
        <w:rPr>
          <w:rFonts w:asciiTheme="minorHAnsi" w:eastAsiaTheme="minorHAnsi" w:hAnsiTheme="minorHAnsi" w:cstheme="minorHAnsi"/>
          <w:bdr w:val="none" w:sz="0" w:space="0" w:color="auto"/>
          <w:lang w:eastAsia="en-US"/>
        </w:rPr>
        <w:t xml:space="preserve"> doi:</w:t>
      </w:r>
      <w:r w:rsidRPr="00331FCD">
        <w:t xml:space="preserve"> </w:t>
      </w:r>
      <w:hyperlink r:id="rId8" w:tgtFrame="_blank" w:tooltip="This link opens in a new window" w:history="1">
        <w:r w:rsidRPr="00331FCD">
          <w:rPr>
            <w:rStyle w:val="Hyperlink"/>
            <w:rFonts w:asciiTheme="minorHAnsi" w:hAnsiTheme="minorHAnsi" w:cstheme="minorHAnsi"/>
            <w:color w:val="auto"/>
            <w:spacing w:val="-4"/>
            <w:u w:val="none"/>
            <w:shd w:val="clear" w:color="auto" w:fill="FFFFFF"/>
          </w:rPr>
          <w:t>10.2307/1354221</w:t>
        </w:r>
      </w:hyperlink>
      <w:r w:rsidRPr="00331FCD">
        <w:rPr>
          <w:rFonts w:asciiTheme="minorHAnsi" w:hAnsiTheme="minorHAnsi" w:cstheme="minorHAnsi"/>
          <w:color w:val="auto"/>
        </w:rPr>
        <w:t>.</w:t>
      </w:r>
    </w:p>
    <w:p w:rsidR="00A04593" w:rsidRDefault="00A04593" w:rsidP="00FF4611">
      <w:pPr>
        <w:jc w:val="both"/>
        <w:rPr>
          <w:rFonts w:cstheme="minorHAnsi"/>
          <w:color w:val="000000"/>
        </w:rPr>
      </w:pPr>
      <w:r w:rsidRPr="00FF4611">
        <w:rPr>
          <w:rFonts w:cstheme="minorHAnsi"/>
          <w:color w:val="000000"/>
        </w:rPr>
        <w:t>Beresford</w:t>
      </w:r>
      <w:r w:rsidRPr="00FF4611">
        <w:rPr>
          <w:rFonts w:cstheme="minorHAnsi"/>
          <w:color w:val="000000"/>
          <w:lang w:val="en-US"/>
        </w:rPr>
        <w:t>, Peter.</w:t>
      </w:r>
      <w:r w:rsidRPr="00FF4611">
        <w:rPr>
          <w:rFonts w:cstheme="minorHAnsi"/>
          <w:color w:val="000000"/>
        </w:rPr>
        <w:t xml:space="preserve"> 2016</w:t>
      </w:r>
      <w:r w:rsidRPr="00FF4611">
        <w:rPr>
          <w:rFonts w:cstheme="minorHAnsi"/>
          <w:color w:val="000000"/>
          <w:lang w:val="en-US"/>
        </w:rPr>
        <w:t>.</w:t>
      </w:r>
      <w:r w:rsidRPr="00FF4611">
        <w:rPr>
          <w:rFonts w:cstheme="minorHAnsi"/>
          <w:color w:val="000000"/>
        </w:rPr>
        <w:t xml:space="preserve"> </w:t>
      </w:r>
      <w:r w:rsidRPr="00FF4611">
        <w:rPr>
          <w:rFonts w:cstheme="minorHAnsi"/>
          <w:color w:val="000000"/>
          <w:lang w:val="en-US"/>
        </w:rPr>
        <w:t>“</w:t>
      </w:r>
      <w:r w:rsidRPr="00FF4611">
        <w:rPr>
          <w:rFonts w:cstheme="minorHAnsi"/>
          <w:color w:val="000000"/>
        </w:rPr>
        <w:t xml:space="preserve">Presenting </w:t>
      </w:r>
      <w:r w:rsidRPr="00FF4611">
        <w:rPr>
          <w:rFonts w:cstheme="minorHAnsi"/>
          <w:color w:val="000000"/>
          <w:lang w:val="en-US"/>
        </w:rPr>
        <w:t>W</w:t>
      </w:r>
      <w:r w:rsidRPr="00FF4611">
        <w:rPr>
          <w:rFonts w:cstheme="minorHAnsi"/>
          <w:color w:val="000000"/>
        </w:rPr>
        <w:t xml:space="preserve">elfare </w:t>
      </w:r>
      <w:r w:rsidRPr="00FF4611">
        <w:rPr>
          <w:rFonts w:cstheme="minorHAnsi"/>
          <w:color w:val="000000"/>
          <w:lang w:val="en-US"/>
        </w:rPr>
        <w:t>R</w:t>
      </w:r>
      <w:r w:rsidRPr="00FF4611">
        <w:rPr>
          <w:rFonts w:cstheme="minorHAnsi"/>
          <w:color w:val="000000"/>
        </w:rPr>
        <w:t xml:space="preserve">eform: </w:t>
      </w:r>
      <w:r w:rsidRPr="00FF4611">
        <w:rPr>
          <w:rFonts w:cstheme="minorHAnsi"/>
          <w:color w:val="000000"/>
          <w:lang w:val="en-US"/>
        </w:rPr>
        <w:t>P</w:t>
      </w:r>
      <w:r w:rsidRPr="00FF4611">
        <w:rPr>
          <w:rFonts w:cstheme="minorHAnsi"/>
          <w:color w:val="000000"/>
        </w:rPr>
        <w:t xml:space="preserve">overty </w:t>
      </w:r>
      <w:r w:rsidRPr="00FF4611">
        <w:rPr>
          <w:rFonts w:cstheme="minorHAnsi"/>
          <w:color w:val="000000"/>
          <w:lang w:val="en-US"/>
        </w:rPr>
        <w:t>P</w:t>
      </w:r>
      <w:r w:rsidRPr="00FF4611">
        <w:rPr>
          <w:rFonts w:cstheme="minorHAnsi"/>
          <w:color w:val="000000"/>
        </w:rPr>
        <w:t xml:space="preserve">orn, </w:t>
      </w:r>
      <w:r w:rsidRPr="00FF4611">
        <w:rPr>
          <w:rFonts w:cstheme="minorHAnsi"/>
          <w:color w:val="000000"/>
          <w:lang w:val="en-US"/>
        </w:rPr>
        <w:t>T</w:t>
      </w:r>
      <w:r w:rsidRPr="00FF4611">
        <w:rPr>
          <w:rFonts w:cstheme="minorHAnsi"/>
          <w:color w:val="000000"/>
        </w:rPr>
        <w:t xml:space="preserve">elling </w:t>
      </w:r>
      <w:r w:rsidRPr="00FF4611">
        <w:rPr>
          <w:rFonts w:cstheme="minorHAnsi"/>
          <w:color w:val="000000"/>
          <w:lang w:val="en-US"/>
        </w:rPr>
        <w:t>S</w:t>
      </w:r>
      <w:r w:rsidRPr="00FF4611">
        <w:rPr>
          <w:rFonts w:cstheme="minorHAnsi"/>
          <w:color w:val="000000"/>
        </w:rPr>
        <w:t>ad</w:t>
      </w:r>
      <w:r w:rsidRPr="00FF4611">
        <w:rPr>
          <w:rFonts w:cstheme="minorHAnsi"/>
          <w:color w:val="000000"/>
          <w:lang w:val="en-US"/>
        </w:rPr>
        <w:t xml:space="preserve"> S</w:t>
      </w:r>
      <w:r w:rsidRPr="00FF4611">
        <w:rPr>
          <w:rFonts w:cstheme="minorHAnsi"/>
          <w:color w:val="000000"/>
        </w:rPr>
        <w:t xml:space="preserve">tories or </w:t>
      </w:r>
      <w:r w:rsidRPr="00FF4611">
        <w:rPr>
          <w:rFonts w:cstheme="minorHAnsi"/>
          <w:color w:val="000000"/>
          <w:lang w:val="en-US"/>
        </w:rPr>
        <w:t>A</w:t>
      </w:r>
      <w:r w:rsidRPr="00FF4611">
        <w:rPr>
          <w:rFonts w:cstheme="minorHAnsi"/>
          <w:color w:val="000000"/>
        </w:rPr>
        <w:t xml:space="preserve">chieving </w:t>
      </w:r>
      <w:r w:rsidRPr="00FF4611">
        <w:rPr>
          <w:rFonts w:cstheme="minorHAnsi"/>
          <w:color w:val="000000"/>
          <w:lang w:val="en-US"/>
        </w:rPr>
        <w:t>C</w:t>
      </w:r>
      <w:r w:rsidRPr="00FF4611">
        <w:rPr>
          <w:rFonts w:cstheme="minorHAnsi"/>
          <w:color w:val="000000"/>
        </w:rPr>
        <w:t>hange?</w:t>
      </w:r>
      <w:r w:rsidRPr="00FF4611">
        <w:rPr>
          <w:rFonts w:cstheme="minorHAnsi"/>
          <w:color w:val="000000"/>
          <w:lang w:val="en-US"/>
        </w:rPr>
        <w:t>”</w:t>
      </w:r>
      <w:r w:rsidRPr="00FF4611">
        <w:rPr>
          <w:rFonts w:cstheme="minorHAnsi"/>
          <w:color w:val="000000"/>
        </w:rPr>
        <w:t xml:space="preserve"> </w:t>
      </w:r>
      <w:r w:rsidRPr="00FF4611">
        <w:rPr>
          <w:rFonts w:cstheme="minorHAnsi"/>
          <w:i/>
          <w:color w:val="000000"/>
        </w:rPr>
        <w:t>Disability &amp; Society</w:t>
      </w:r>
      <w:r w:rsidRPr="00FF4611">
        <w:rPr>
          <w:rFonts w:cstheme="minorHAnsi"/>
          <w:color w:val="000000"/>
        </w:rPr>
        <w:t xml:space="preserve">, </w:t>
      </w:r>
      <w:r>
        <w:rPr>
          <w:rFonts w:cstheme="minorHAnsi"/>
          <w:color w:val="000000"/>
          <w:lang w:val="en-US"/>
        </w:rPr>
        <w:t>doi</w:t>
      </w:r>
      <w:r w:rsidRPr="00FF4611">
        <w:rPr>
          <w:rFonts w:cstheme="minorHAnsi"/>
          <w:color w:val="000000"/>
        </w:rPr>
        <w:t>: 10.1080/09687599.2016.1173419</w:t>
      </w:r>
      <w:r w:rsidRPr="00FF4611">
        <w:rPr>
          <w:rFonts w:cstheme="minorHAnsi"/>
          <w:color w:val="000000"/>
          <w:lang w:val="en-US"/>
        </w:rPr>
        <w:t>.</w:t>
      </w:r>
    </w:p>
    <w:p w:rsidR="00A04593" w:rsidRPr="00331FCD" w:rsidRDefault="00A04593" w:rsidP="00331FCD">
      <w:pPr>
        <w:jc w:val="both"/>
        <w:rPr>
          <w:rFonts w:cstheme="minorHAnsi"/>
          <w:lang w:val="en-US"/>
        </w:rPr>
      </w:pPr>
      <w:r w:rsidRPr="00FF4611">
        <w:rPr>
          <w:rFonts w:cstheme="minorHAnsi"/>
        </w:rPr>
        <w:t xml:space="preserve">Binderkrantz, Anne S., and Simon Krøyer. 2012. “Customizing Strategy: Policy Goals and Interest </w:t>
      </w:r>
      <w:r w:rsidRPr="00331FCD">
        <w:rPr>
          <w:rFonts w:cstheme="minorHAnsi"/>
        </w:rPr>
        <w:t xml:space="preserve">Group Strategies.” </w:t>
      </w:r>
      <w:r w:rsidRPr="00331FCD">
        <w:rPr>
          <w:rFonts w:cstheme="minorHAnsi"/>
          <w:i/>
          <w:iCs/>
        </w:rPr>
        <w:t xml:space="preserve">Interest Groups &amp; Advocacy </w:t>
      </w:r>
      <w:r w:rsidRPr="00331FCD">
        <w:rPr>
          <w:rFonts w:cstheme="minorHAnsi"/>
        </w:rPr>
        <w:t>1:115–138. doi:</w:t>
      </w:r>
      <w:r w:rsidRPr="00331FCD">
        <w:rPr>
          <w:rStyle w:val="c-bibliographic-informationvalue"/>
          <w:rFonts w:cstheme="minorHAnsi"/>
        </w:rPr>
        <w:t xml:space="preserve"> </w:t>
      </w:r>
      <w:hyperlink r:id="rId9" w:history="1">
        <w:r w:rsidRPr="00331FCD">
          <w:rPr>
            <w:rStyle w:val="Hyperlink"/>
            <w:rFonts w:cstheme="minorHAnsi"/>
            <w:color w:val="auto"/>
            <w:u w:val="none"/>
          </w:rPr>
          <w:t>10.1057/iga.2012.6</w:t>
        </w:r>
      </w:hyperlink>
      <w:r>
        <w:rPr>
          <w:rStyle w:val="c-bibliographic-informationvalue"/>
          <w:rFonts w:cstheme="minorHAnsi"/>
          <w:lang w:val="en-US"/>
        </w:rPr>
        <w:t>.</w:t>
      </w:r>
    </w:p>
    <w:p w:rsidR="00A04593" w:rsidRPr="00FF4611" w:rsidRDefault="00A04593" w:rsidP="00FF4611">
      <w:pPr>
        <w:jc w:val="both"/>
        <w:rPr>
          <w:rFonts w:cstheme="minorHAnsi"/>
          <w:lang w:val="en-US"/>
        </w:rPr>
      </w:pPr>
      <w:r w:rsidRPr="00FF4611">
        <w:rPr>
          <w:rFonts w:cstheme="minorHAnsi"/>
          <w:lang w:val="en-US"/>
        </w:rPr>
        <w:t xml:space="preserve">Boiadzhieva, Marina, </w:t>
      </w:r>
      <w:r>
        <w:rPr>
          <w:rFonts w:cstheme="minorHAnsi"/>
          <w:lang w:val="en-US"/>
        </w:rPr>
        <w:t>Meglena Achkova,</w:t>
      </w:r>
      <w:r w:rsidRPr="00FF4611">
        <w:rPr>
          <w:rFonts w:cstheme="minorHAnsi"/>
          <w:lang w:val="en-US"/>
        </w:rPr>
        <w:t xml:space="preserve"> and Hristo Todorov. 1988. </w:t>
      </w:r>
      <w:r w:rsidRPr="00FF4611">
        <w:rPr>
          <w:rFonts w:cstheme="minorHAnsi"/>
          <w:i/>
          <w:lang w:val="en-US"/>
        </w:rPr>
        <w:t>Natrapliva nevroza</w:t>
      </w:r>
      <w:r>
        <w:rPr>
          <w:rFonts w:cstheme="minorHAnsi"/>
          <w:lang w:val="en-US"/>
        </w:rPr>
        <w:t xml:space="preserve"> [Obsessive-compulsive Disorder]</w:t>
      </w:r>
      <w:r w:rsidRPr="00FF4611">
        <w:rPr>
          <w:rFonts w:cstheme="minorHAnsi"/>
          <w:lang w:val="en-US"/>
        </w:rPr>
        <w:t>. Sofia: Medicina i Fizkultura.</w:t>
      </w:r>
    </w:p>
    <w:p w:rsidR="00A04593" w:rsidRDefault="00A04593" w:rsidP="00401781">
      <w:pPr>
        <w:jc w:val="both"/>
        <w:rPr>
          <w:rFonts w:cstheme="minorHAnsi"/>
          <w:color w:val="242021"/>
        </w:rPr>
      </w:pPr>
      <w:r w:rsidRPr="00195E0E">
        <w:rPr>
          <w:rFonts w:cstheme="minorHAnsi"/>
          <w:color w:val="242021"/>
        </w:rPr>
        <w:t>Bourdieu, P</w:t>
      </w:r>
      <w:r w:rsidRPr="00195E0E">
        <w:rPr>
          <w:rFonts w:cstheme="minorHAnsi"/>
          <w:color w:val="242021"/>
          <w:lang w:val="en-US"/>
        </w:rPr>
        <w:t>ierre</w:t>
      </w:r>
      <w:r w:rsidRPr="00195E0E">
        <w:rPr>
          <w:rFonts w:cstheme="minorHAnsi"/>
          <w:color w:val="242021"/>
        </w:rPr>
        <w:t>. 1991</w:t>
      </w:r>
      <w:r w:rsidRPr="00195E0E">
        <w:rPr>
          <w:rFonts w:cstheme="minorHAnsi"/>
          <w:color w:val="242021"/>
          <w:lang w:val="en-US"/>
        </w:rPr>
        <w:t>.</w:t>
      </w:r>
      <w:r w:rsidRPr="00195E0E">
        <w:rPr>
          <w:rFonts w:cstheme="minorHAnsi"/>
          <w:color w:val="242021"/>
        </w:rPr>
        <w:t xml:space="preserve"> </w:t>
      </w:r>
      <w:r w:rsidRPr="00195E0E">
        <w:rPr>
          <w:rFonts w:cstheme="minorHAnsi"/>
          <w:i/>
          <w:iCs/>
          <w:color w:val="242021"/>
        </w:rPr>
        <w:t>Language and Symbolic Power</w:t>
      </w:r>
      <w:r w:rsidRPr="00195E0E">
        <w:rPr>
          <w:rFonts w:cstheme="minorHAnsi"/>
          <w:i/>
          <w:iCs/>
          <w:color w:val="242021"/>
          <w:lang w:val="en-US"/>
        </w:rPr>
        <w:t xml:space="preserve">. </w:t>
      </w:r>
      <w:r w:rsidRPr="00195E0E">
        <w:rPr>
          <w:rFonts w:cstheme="minorHAnsi"/>
          <w:iCs/>
          <w:color w:val="242021"/>
          <w:lang w:val="en-US"/>
        </w:rPr>
        <w:t xml:space="preserve">Cambridge: </w:t>
      </w:r>
      <w:r w:rsidRPr="00195E0E">
        <w:rPr>
          <w:rFonts w:cstheme="minorHAnsi"/>
          <w:color w:val="242021"/>
        </w:rPr>
        <w:t>Polity</w:t>
      </w:r>
      <w:r w:rsidRPr="00195E0E">
        <w:rPr>
          <w:rFonts w:cstheme="minorHAnsi"/>
          <w:color w:val="242021"/>
          <w:lang w:val="en-US"/>
        </w:rPr>
        <w:t>.</w:t>
      </w:r>
    </w:p>
    <w:p w:rsidR="00A04593" w:rsidRDefault="00A04593" w:rsidP="00FF4611">
      <w:pPr>
        <w:jc w:val="both"/>
        <w:rPr>
          <w:rFonts w:cstheme="minorHAnsi"/>
          <w:lang w:val="en-US"/>
        </w:rPr>
      </w:pPr>
      <w:r w:rsidRPr="00FF4611">
        <w:rPr>
          <w:rFonts w:cstheme="minorHAnsi"/>
        </w:rPr>
        <w:t>Boyadzhiev</w:t>
      </w:r>
      <w:r>
        <w:rPr>
          <w:rFonts w:cstheme="minorHAnsi"/>
          <w:lang w:val="en-US"/>
        </w:rPr>
        <w:t>, Boris.</w:t>
      </w:r>
      <w:r>
        <w:rPr>
          <w:rFonts w:cstheme="minorHAnsi"/>
        </w:rPr>
        <w:t xml:space="preserve"> 2002</w:t>
      </w:r>
      <w:r>
        <w:rPr>
          <w:rFonts w:cstheme="minorHAnsi"/>
          <w:lang w:val="en-US"/>
        </w:rPr>
        <w:t>.</w:t>
      </w:r>
      <w:r w:rsidRPr="00FF4611">
        <w:rPr>
          <w:rFonts w:cstheme="minorHAnsi"/>
        </w:rPr>
        <w:t xml:space="preserve"> </w:t>
      </w:r>
      <w:r>
        <w:rPr>
          <w:rFonts w:cstheme="minorHAnsi"/>
          <w:lang w:val="en-US"/>
        </w:rPr>
        <w:t>“Za taka narechenata “nemodi</w:t>
      </w:r>
      <w:r w:rsidR="00806358">
        <w:rPr>
          <w:rFonts w:cstheme="minorHAnsi"/>
          <w:lang w:val="en-US"/>
        </w:rPr>
        <w:t>ficirana” EKT v balgarskata psi</w:t>
      </w:r>
      <w:r>
        <w:rPr>
          <w:rFonts w:cstheme="minorHAnsi"/>
          <w:lang w:val="en-US"/>
        </w:rPr>
        <w:t>hiatrichna praktika” [On the So Called “Unmodified” ECT in Bulgaria</w:t>
      </w:r>
      <w:r w:rsidR="00806358">
        <w:rPr>
          <w:rFonts w:cstheme="minorHAnsi"/>
          <w:lang w:val="en-US"/>
        </w:rPr>
        <w:t>n</w:t>
      </w:r>
      <w:r>
        <w:rPr>
          <w:rFonts w:cstheme="minorHAnsi"/>
          <w:lang w:val="en-US"/>
        </w:rPr>
        <w:t xml:space="preserve"> Psychiatric Practice]. </w:t>
      </w:r>
      <w:r w:rsidRPr="00E90637">
        <w:rPr>
          <w:rFonts w:cstheme="minorHAnsi"/>
          <w:i/>
          <w:lang w:val="en-US"/>
        </w:rPr>
        <w:t>Buyletin of BPA</w:t>
      </w:r>
      <w:r>
        <w:rPr>
          <w:rFonts w:cstheme="minorHAnsi"/>
          <w:lang w:val="en-US"/>
        </w:rPr>
        <w:t xml:space="preserve">, </w:t>
      </w:r>
      <w:r w:rsidRPr="00FF4611">
        <w:rPr>
          <w:rFonts w:cstheme="minorHAnsi"/>
        </w:rPr>
        <w:t>1, 15-22.</w:t>
      </w:r>
    </w:p>
    <w:p w:rsidR="007B5EFA" w:rsidRPr="00124F93" w:rsidRDefault="007B5EFA" w:rsidP="00FF4611">
      <w:pPr>
        <w:jc w:val="both"/>
        <w:rPr>
          <w:rFonts w:cstheme="minorHAnsi"/>
        </w:rPr>
      </w:pPr>
      <w:r>
        <w:rPr>
          <w:rFonts w:cstheme="minorHAnsi"/>
          <w:lang w:val="en-US"/>
        </w:rPr>
        <w:t xml:space="preserve">Bulgarian Helsinki Committee. 2005. </w:t>
      </w:r>
      <w:r w:rsidRPr="007B5EFA">
        <w:rPr>
          <w:rFonts w:cstheme="minorHAnsi"/>
          <w:i/>
          <w:lang w:val="en-US"/>
        </w:rPr>
        <w:t>Arhipelagat na zabravenite</w:t>
      </w:r>
      <w:r>
        <w:rPr>
          <w:rFonts w:cstheme="minorHAnsi"/>
          <w:lang w:val="en-US"/>
        </w:rPr>
        <w:t xml:space="preserve"> [The Archipelag</w:t>
      </w:r>
      <w:r>
        <w:rPr>
          <w:rFonts w:cstheme="minorHAnsi"/>
        </w:rPr>
        <w:t xml:space="preserve">о </w:t>
      </w:r>
      <w:r>
        <w:rPr>
          <w:rFonts w:cstheme="minorHAnsi"/>
          <w:lang w:val="en-US"/>
        </w:rPr>
        <w:t xml:space="preserve">of the Forgotten], </w:t>
      </w:r>
      <w:r w:rsidRPr="007B5EFA">
        <w:rPr>
          <w:rFonts w:cstheme="minorHAnsi"/>
          <w:lang w:val="en-US"/>
        </w:rPr>
        <w:t>https://www.bghelsinki.org/bg/reports/arhipelagyt-na-zabravenite-domove-za-lica-s-umstveni-zatrudnenija-v-bylgarija</w:t>
      </w:r>
      <w:r>
        <w:rPr>
          <w:rFonts w:cstheme="minorHAnsi"/>
          <w:lang w:val="en-US"/>
        </w:rPr>
        <w:t>.</w:t>
      </w:r>
    </w:p>
    <w:p w:rsidR="00A04593" w:rsidRDefault="00A04593" w:rsidP="00E90637">
      <w:pPr>
        <w:jc w:val="both"/>
        <w:rPr>
          <w:rFonts w:cstheme="minorHAnsi"/>
          <w:lang w:val="en-US"/>
        </w:rPr>
      </w:pPr>
      <w:r>
        <w:rPr>
          <w:rFonts w:cstheme="minorHAnsi"/>
          <w:lang w:val="en-US"/>
        </w:rPr>
        <w:t>Bulgarian Psychiatric Association. 1992. “</w:t>
      </w:r>
      <w:r w:rsidRPr="00B038D1">
        <w:rPr>
          <w:rFonts w:cstheme="minorHAnsi"/>
          <w:i/>
          <w:lang w:val="en-US"/>
        </w:rPr>
        <w:t>Dokumenti ot sazdavaneto na BPA</w:t>
      </w:r>
      <w:r>
        <w:rPr>
          <w:rFonts w:cstheme="minorHAnsi"/>
          <w:lang w:val="en-US"/>
        </w:rPr>
        <w:t xml:space="preserve">” [Documents from the Establishment of BPA]. </w:t>
      </w:r>
      <w:r w:rsidRPr="00E90637">
        <w:rPr>
          <w:rFonts w:cstheme="minorHAnsi"/>
          <w:i/>
          <w:lang w:val="en-US"/>
        </w:rPr>
        <w:t>Buyletin of BPA</w:t>
      </w:r>
      <w:r>
        <w:rPr>
          <w:rFonts w:cstheme="minorHAnsi"/>
          <w:lang w:val="en-US"/>
        </w:rPr>
        <w:t>, 1: 10–4.</w:t>
      </w:r>
    </w:p>
    <w:p w:rsidR="00A04593" w:rsidRDefault="00A04593" w:rsidP="00FF4611">
      <w:pPr>
        <w:jc w:val="both"/>
        <w:rPr>
          <w:rFonts w:cstheme="minorHAnsi"/>
          <w:lang w:val="en-US"/>
        </w:rPr>
      </w:pPr>
      <w:r>
        <w:rPr>
          <w:rFonts w:cstheme="minorHAnsi"/>
          <w:lang w:val="en-US"/>
        </w:rPr>
        <w:t xml:space="preserve">Bulgarian Psychiatric Association. 1993. </w:t>
      </w:r>
      <w:r w:rsidRPr="00B038D1">
        <w:rPr>
          <w:rFonts w:cstheme="minorHAnsi"/>
          <w:i/>
          <w:lang w:val="en-US"/>
        </w:rPr>
        <w:t>Towards the liberation of mental health</w:t>
      </w:r>
      <w:r w:rsidRPr="00FF4611">
        <w:rPr>
          <w:rFonts w:cstheme="minorHAnsi"/>
          <w:lang w:val="en-US"/>
        </w:rPr>
        <w:t>.</w:t>
      </w:r>
    </w:p>
    <w:p w:rsidR="00A04593" w:rsidRDefault="00A04593" w:rsidP="00B038D1">
      <w:pPr>
        <w:jc w:val="both"/>
        <w:rPr>
          <w:rFonts w:cstheme="minorHAnsi"/>
          <w:lang w:val="en-US"/>
        </w:rPr>
      </w:pPr>
      <w:r>
        <w:rPr>
          <w:rFonts w:cstheme="minorHAnsi"/>
          <w:lang w:val="en-US"/>
        </w:rPr>
        <w:t>Bulgarian Psychiatric Association. 1994. “</w:t>
      </w:r>
      <w:r w:rsidRPr="00B038D1">
        <w:rPr>
          <w:rFonts w:cstheme="minorHAnsi"/>
          <w:i/>
          <w:lang w:val="en-US"/>
        </w:rPr>
        <w:t>Izyavlenie na predsedatelya Toma Tomov</w:t>
      </w:r>
      <w:r>
        <w:rPr>
          <w:rFonts w:cstheme="minorHAnsi"/>
          <w:lang w:val="en-US"/>
        </w:rPr>
        <w:t xml:space="preserve">” [Statement of the Chairman Toma Tomov]. </w:t>
      </w:r>
      <w:r w:rsidRPr="00E90637">
        <w:rPr>
          <w:rFonts w:cstheme="minorHAnsi"/>
          <w:i/>
          <w:lang w:val="en-US"/>
        </w:rPr>
        <w:t>Buyletin of BPA</w:t>
      </w:r>
      <w:r>
        <w:rPr>
          <w:rFonts w:cstheme="minorHAnsi"/>
          <w:lang w:val="en-US"/>
        </w:rPr>
        <w:t xml:space="preserve">, 1: </w:t>
      </w:r>
      <w:r>
        <w:rPr>
          <w:rFonts w:cstheme="minorHAnsi"/>
        </w:rPr>
        <w:t>6–</w:t>
      </w:r>
      <w:r w:rsidRPr="00FF4611">
        <w:rPr>
          <w:rFonts w:cstheme="minorHAnsi"/>
        </w:rPr>
        <w:t>9</w:t>
      </w:r>
      <w:r>
        <w:rPr>
          <w:rFonts w:cstheme="minorHAnsi"/>
          <w:lang w:val="en-US"/>
        </w:rPr>
        <w:t>.</w:t>
      </w:r>
    </w:p>
    <w:p w:rsidR="00A04593" w:rsidRDefault="00A04593" w:rsidP="00E90637">
      <w:pPr>
        <w:jc w:val="both"/>
        <w:rPr>
          <w:rFonts w:cstheme="minorHAnsi"/>
          <w:lang w:val="en-US"/>
        </w:rPr>
      </w:pPr>
      <w:r>
        <w:rPr>
          <w:rFonts w:cstheme="minorHAnsi"/>
          <w:lang w:val="en-US"/>
        </w:rPr>
        <w:t>Bulgarian Psychiatric Association. 1997a. “</w:t>
      </w:r>
      <w:r w:rsidRPr="00B038D1">
        <w:rPr>
          <w:rFonts w:cstheme="minorHAnsi"/>
          <w:i/>
          <w:lang w:val="en-US"/>
        </w:rPr>
        <w:t>Deklaraciya na BPA za predsrochni izbori</w:t>
      </w:r>
      <w:r>
        <w:rPr>
          <w:rFonts w:cstheme="minorHAnsi"/>
          <w:lang w:val="en-US"/>
        </w:rPr>
        <w:t xml:space="preserve">” [Declaration of BPA for Snap Elections]. </w:t>
      </w:r>
      <w:r w:rsidRPr="00E90637">
        <w:rPr>
          <w:rFonts w:cstheme="minorHAnsi"/>
          <w:i/>
          <w:lang w:val="en-US"/>
        </w:rPr>
        <w:t>Buyletin of BPA</w:t>
      </w:r>
      <w:r>
        <w:rPr>
          <w:rFonts w:cstheme="minorHAnsi"/>
          <w:lang w:val="en-US"/>
        </w:rPr>
        <w:t>, 1:</w:t>
      </w:r>
      <w:r w:rsidRPr="00FF4611">
        <w:rPr>
          <w:rFonts w:cstheme="minorHAnsi"/>
        </w:rPr>
        <w:t>38</w:t>
      </w:r>
      <w:r>
        <w:rPr>
          <w:rFonts w:cstheme="minorHAnsi"/>
        </w:rPr>
        <w:t>–</w:t>
      </w:r>
      <w:r w:rsidRPr="00FF4611">
        <w:rPr>
          <w:rFonts w:cstheme="minorHAnsi"/>
        </w:rPr>
        <w:t>9</w:t>
      </w:r>
      <w:r>
        <w:rPr>
          <w:rFonts w:cstheme="minorHAnsi"/>
          <w:lang w:val="en-US"/>
        </w:rPr>
        <w:t>.</w:t>
      </w:r>
    </w:p>
    <w:p w:rsidR="00A04593" w:rsidRDefault="00A04593" w:rsidP="00FF4611">
      <w:pPr>
        <w:jc w:val="both"/>
        <w:rPr>
          <w:rFonts w:cstheme="minorHAnsi"/>
          <w:lang w:val="en-US"/>
        </w:rPr>
      </w:pPr>
      <w:r>
        <w:rPr>
          <w:rFonts w:cstheme="minorHAnsi"/>
          <w:lang w:val="en-US"/>
        </w:rPr>
        <w:lastRenderedPageBreak/>
        <w:t>Bulgarian Psychiatric Association. 1997b. “</w:t>
      </w:r>
      <w:r w:rsidRPr="00B038D1">
        <w:rPr>
          <w:rFonts w:cstheme="minorHAnsi"/>
          <w:i/>
          <w:lang w:val="en-US"/>
        </w:rPr>
        <w:t>Mnenie na BPA za prestukturiraneto na psihiatrichnite institucii</w:t>
      </w:r>
      <w:r>
        <w:rPr>
          <w:rFonts w:cstheme="minorHAnsi"/>
          <w:lang w:val="en-US"/>
        </w:rPr>
        <w:t>” [</w:t>
      </w:r>
      <w:r w:rsidRPr="00FF4611">
        <w:rPr>
          <w:rFonts w:cstheme="minorHAnsi"/>
          <w:lang w:val="en-US"/>
        </w:rPr>
        <w:t xml:space="preserve">Opinion of the BPA on the </w:t>
      </w:r>
      <w:r>
        <w:rPr>
          <w:rFonts w:cstheme="minorHAnsi"/>
          <w:lang w:val="en-US"/>
        </w:rPr>
        <w:t>Restructuring of P</w:t>
      </w:r>
      <w:r w:rsidRPr="00FF4611">
        <w:rPr>
          <w:rFonts w:cstheme="minorHAnsi"/>
          <w:lang w:val="en-US"/>
        </w:rPr>
        <w:t xml:space="preserve">sychiatric </w:t>
      </w:r>
      <w:r>
        <w:rPr>
          <w:rFonts w:cstheme="minorHAnsi"/>
          <w:lang w:val="en-US"/>
        </w:rPr>
        <w:t>Institutions].</w:t>
      </w:r>
      <w:r w:rsidRPr="00FF4611">
        <w:rPr>
          <w:rFonts w:cstheme="minorHAnsi"/>
          <w:lang w:val="en-US"/>
        </w:rPr>
        <w:t xml:space="preserve"> </w:t>
      </w:r>
      <w:r w:rsidRPr="00E90637">
        <w:rPr>
          <w:rFonts w:cstheme="minorHAnsi"/>
          <w:i/>
          <w:lang w:val="en-US"/>
        </w:rPr>
        <w:t>Buyletin of BPA</w:t>
      </w:r>
      <w:r>
        <w:rPr>
          <w:rFonts w:cstheme="minorHAnsi"/>
          <w:lang w:val="en-US"/>
        </w:rPr>
        <w:t>, 3: 19–23.</w:t>
      </w:r>
    </w:p>
    <w:p w:rsidR="00A04593" w:rsidRPr="00FF4611" w:rsidRDefault="00A04593" w:rsidP="00E5563D">
      <w:pPr>
        <w:pStyle w:val="Body"/>
        <w:jc w:val="both"/>
        <w:rPr>
          <w:rFonts w:asciiTheme="minorHAnsi" w:eastAsiaTheme="minorHAnsi" w:hAnsiTheme="minorHAnsi" w:cstheme="minorHAnsi"/>
          <w:color w:val="242021"/>
          <w:bdr w:val="none" w:sz="0" w:space="0" w:color="auto"/>
          <w:lang w:eastAsia="en-US"/>
        </w:rPr>
      </w:pPr>
      <w:r w:rsidRPr="00FF4611">
        <w:rPr>
          <w:rFonts w:asciiTheme="minorHAnsi" w:eastAsiaTheme="minorHAnsi" w:hAnsiTheme="minorHAnsi" w:cstheme="minorHAnsi"/>
          <w:color w:val="242021"/>
          <w:bdr w:val="none" w:sz="0" w:space="0" w:color="auto"/>
          <w:lang w:val="bg-BG" w:eastAsia="en-US"/>
        </w:rPr>
        <w:t>Callon, M</w:t>
      </w:r>
      <w:r>
        <w:rPr>
          <w:rFonts w:asciiTheme="minorHAnsi" w:eastAsiaTheme="minorHAnsi" w:hAnsiTheme="minorHAnsi" w:cstheme="minorHAnsi"/>
          <w:color w:val="242021"/>
          <w:bdr w:val="none" w:sz="0" w:space="0" w:color="auto"/>
          <w:lang w:eastAsia="en-US"/>
        </w:rPr>
        <w:t>ichel.</w:t>
      </w:r>
      <w:r>
        <w:rPr>
          <w:rFonts w:asciiTheme="minorHAnsi" w:eastAsiaTheme="minorHAnsi" w:hAnsiTheme="minorHAnsi" w:cstheme="minorHAnsi"/>
          <w:color w:val="242021"/>
          <w:bdr w:val="none" w:sz="0" w:space="0" w:color="auto"/>
          <w:lang w:val="bg-BG" w:eastAsia="en-US"/>
        </w:rPr>
        <w:t xml:space="preserve"> 1986</w:t>
      </w:r>
      <w:r>
        <w:rPr>
          <w:rFonts w:asciiTheme="minorHAnsi" w:eastAsiaTheme="minorHAnsi" w:hAnsiTheme="minorHAnsi" w:cstheme="minorHAnsi"/>
          <w:color w:val="242021"/>
          <w:bdr w:val="none" w:sz="0" w:space="0" w:color="auto"/>
          <w:lang w:eastAsia="en-US"/>
        </w:rPr>
        <w:t>.</w:t>
      </w:r>
      <w:r w:rsidRPr="00FF4611">
        <w:rPr>
          <w:rFonts w:asciiTheme="minorHAnsi" w:eastAsiaTheme="minorHAnsi" w:hAnsiTheme="minorHAnsi" w:cstheme="minorHAnsi"/>
          <w:color w:val="242021"/>
          <w:bdr w:val="none" w:sz="0" w:space="0" w:color="auto"/>
          <w:lang w:val="bg-BG" w:eastAsia="en-US"/>
        </w:rPr>
        <w:t xml:space="preserve"> </w:t>
      </w:r>
      <w:r>
        <w:rPr>
          <w:rFonts w:asciiTheme="minorHAnsi" w:eastAsiaTheme="minorHAnsi" w:hAnsiTheme="minorHAnsi" w:cstheme="minorHAnsi"/>
          <w:color w:val="242021"/>
          <w:bdr w:val="none" w:sz="0" w:space="0" w:color="auto"/>
          <w:lang w:eastAsia="en-US"/>
        </w:rPr>
        <w:t>“</w:t>
      </w:r>
      <w:r w:rsidRPr="00FF4611">
        <w:rPr>
          <w:rFonts w:asciiTheme="minorHAnsi" w:eastAsiaTheme="minorHAnsi" w:hAnsiTheme="minorHAnsi" w:cstheme="minorHAnsi"/>
          <w:color w:val="242021"/>
          <w:bdr w:val="none" w:sz="0" w:space="0" w:color="auto"/>
          <w:lang w:val="bg-BG" w:eastAsia="en-US"/>
        </w:rPr>
        <w:t xml:space="preserve">Some </w:t>
      </w:r>
      <w:r>
        <w:rPr>
          <w:rFonts w:asciiTheme="minorHAnsi" w:eastAsiaTheme="minorHAnsi" w:hAnsiTheme="minorHAnsi" w:cstheme="minorHAnsi"/>
          <w:color w:val="242021"/>
          <w:bdr w:val="none" w:sz="0" w:space="0" w:color="auto"/>
          <w:lang w:eastAsia="en-US"/>
        </w:rPr>
        <w:t>E</w:t>
      </w:r>
      <w:r w:rsidRPr="00FF4611">
        <w:rPr>
          <w:rFonts w:asciiTheme="minorHAnsi" w:eastAsiaTheme="minorHAnsi" w:hAnsiTheme="minorHAnsi" w:cstheme="minorHAnsi"/>
          <w:color w:val="242021"/>
          <w:bdr w:val="none" w:sz="0" w:space="0" w:color="auto"/>
          <w:lang w:val="bg-BG" w:eastAsia="en-US"/>
        </w:rPr>
        <w:t xml:space="preserve">lements of a </w:t>
      </w:r>
      <w:r>
        <w:rPr>
          <w:rFonts w:asciiTheme="minorHAnsi" w:eastAsiaTheme="minorHAnsi" w:hAnsiTheme="minorHAnsi" w:cstheme="minorHAnsi"/>
          <w:color w:val="242021"/>
          <w:bdr w:val="none" w:sz="0" w:space="0" w:color="auto"/>
          <w:lang w:eastAsia="en-US"/>
        </w:rPr>
        <w:t>S</w:t>
      </w:r>
      <w:r w:rsidRPr="00FF4611">
        <w:rPr>
          <w:rFonts w:asciiTheme="minorHAnsi" w:eastAsiaTheme="minorHAnsi" w:hAnsiTheme="minorHAnsi" w:cstheme="minorHAnsi"/>
          <w:color w:val="242021"/>
          <w:bdr w:val="none" w:sz="0" w:space="0" w:color="auto"/>
          <w:lang w:val="bg-BG" w:eastAsia="en-US"/>
        </w:rPr>
        <w:t>ociology of</w:t>
      </w:r>
      <w:r w:rsidRPr="00FF4611">
        <w:rPr>
          <w:rFonts w:asciiTheme="minorHAnsi" w:eastAsiaTheme="minorHAnsi" w:hAnsiTheme="minorHAnsi" w:cstheme="minorHAnsi"/>
          <w:color w:val="242021"/>
          <w:bdr w:val="none" w:sz="0" w:space="0" w:color="auto"/>
          <w:lang w:eastAsia="en-US"/>
        </w:rPr>
        <w:t xml:space="preserve"> </w:t>
      </w:r>
      <w:r>
        <w:rPr>
          <w:rFonts w:asciiTheme="minorHAnsi" w:eastAsiaTheme="minorHAnsi" w:hAnsiTheme="minorHAnsi" w:cstheme="minorHAnsi"/>
          <w:color w:val="242021"/>
          <w:bdr w:val="none" w:sz="0" w:space="0" w:color="auto"/>
          <w:lang w:eastAsia="en-US"/>
        </w:rPr>
        <w:t>T</w:t>
      </w:r>
      <w:r w:rsidRPr="00FF4611">
        <w:rPr>
          <w:rFonts w:asciiTheme="minorHAnsi" w:eastAsiaTheme="minorHAnsi" w:hAnsiTheme="minorHAnsi" w:cstheme="minorHAnsi"/>
          <w:color w:val="242021"/>
          <w:bdr w:val="none" w:sz="0" w:space="0" w:color="auto"/>
          <w:lang w:val="bg-BG" w:eastAsia="en-US"/>
        </w:rPr>
        <w:t>ranslation</w:t>
      </w:r>
      <w:r>
        <w:rPr>
          <w:rFonts w:asciiTheme="minorHAnsi" w:eastAsiaTheme="minorHAnsi" w:hAnsiTheme="minorHAnsi" w:cstheme="minorHAnsi"/>
          <w:color w:val="242021"/>
          <w:bdr w:val="none" w:sz="0" w:space="0" w:color="auto"/>
          <w:lang w:eastAsia="en-US"/>
        </w:rPr>
        <w:t>.”</w:t>
      </w:r>
      <w:r w:rsidRPr="00FF4611">
        <w:rPr>
          <w:rFonts w:asciiTheme="minorHAnsi" w:eastAsiaTheme="minorHAnsi" w:hAnsiTheme="minorHAnsi" w:cstheme="minorHAnsi"/>
          <w:color w:val="242021"/>
          <w:bdr w:val="none" w:sz="0" w:space="0" w:color="auto"/>
          <w:lang w:val="bg-BG" w:eastAsia="en-US"/>
        </w:rPr>
        <w:t xml:space="preserve"> </w:t>
      </w:r>
      <w:r>
        <w:rPr>
          <w:rFonts w:asciiTheme="minorHAnsi" w:eastAsiaTheme="minorHAnsi" w:hAnsiTheme="minorHAnsi" w:cstheme="minorHAnsi"/>
          <w:color w:val="242021"/>
          <w:bdr w:val="none" w:sz="0" w:space="0" w:color="auto"/>
          <w:lang w:eastAsia="en-US"/>
        </w:rPr>
        <w:t>I</w:t>
      </w:r>
      <w:r w:rsidRPr="00FF4611">
        <w:rPr>
          <w:rFonts w:asciiTheme="minorHAnsi" w:eastAsiaTheme="minorHAnsi" w:hAnsiTheme="minorHAnsi" w:cstheme="minorHAnsi"/>
          <w:color w:val="242021"/>
          <w:bdr w:val="none" w:sz="0" w:space="0" w:color="auto"/>
          <w:lang w:val="bg-BG" w:eastAsia="en-US"/>
        </w:rPr>
        <w:t xml:space="preserve">n </w:t>
      </w:r>
      <w:r w:rsidRPr="00FF4611">
        <w:rPr>
          <w:rFonts w:asciiTheme="minorHAnsi" w:eastAsiaTheme="minorHAnsi" w:hAnsiTheme="minorHAnsi" w:cstheme="minorHAnsi"/>
          <w:i/>
          <w:iCs/>
          <w:color w:val="242021"/>
          <w:bdr w:val="none" w:sz="0" w:space="0" w:color="auto"/>
          <w:lang w:val="bg-BG" w:eastAsia="en-US"/>
        </w:rPr>
        <w:t xml:space="preserve">Power, Action, and Belief: A New Sociology of Knowledge? </w:t>
      </w:r>
      <w:r>
        <w:rPr>
          <w:rFonts w:asciiTheme="minorHAnsi" w:eastAsiaTheme="minorHAnsi" w:hAnsiTheme="minorHAnsi" w:cstheme="minorHAnsi"/>
          <w:color w:val="242021"/>
          <w:bdr w:val="none" w:sz="0" w:space="0" w:color="auto"/>
          <w:lang w:val="bg-BG" w:eastAsia="en-US"/>
        </w:rPr>
        <w:t>ed</w:t>
      </w:r>
      <w:r>
        <w:rPr>
          <w:rFonts w:asciiTheme="minorHAnsi" w:eastAsiaTheme="minorHAnsi" w:hAnsiTheme="minorHAnsi" w:cstheme="minorHAnsi"/>
          <w:color w:val="242021"/>
          <w:bdr w:val="none" w:sz="0" w:space="0" w:color="auto"/>
          <w:lang w:eastAsia="en-US"/>
        </w:rPr>
        <w:t>ited</w:t>
      </w:r>
      <w:r w:rsidRPr="00FF4611">
        <w:rPr>
          <w:rFonts w:asciiTheme="minorHAnsi" w:eastAsiaTheme="minorHAnsi" w:hAnsiTheme="minorHAnsi" w:cstheme="minorHAnsi"/>
          <w:color w:val="242021"/>
          <w:bdr w:val="none" w:sz="0" w:space="0" w:color="auto"/>
          <w:lang w:val="bg-BG" w:eastAsia="en-US"/>
        </w:rPr>
        <w:t xml:space="preserve"> </w:t>
      </w:r>
      <w:r>
        <w:rPr>
          <w:rFonts w:asciiTheme="minorHAnsi" w:eastAsiaTheme="minorHAnsi" w:hAnsiTheme="minorHAnsi" w:cstheme="minorHAnsi"/>
          <w:color w:val="242021"/>
          <w:bdr w:val="none" w:sz="0" w:space="0" w:color="auto"/>
          <w:lang w:eastAsia="en-US"/>
        </w:rPr>
        <w:t xml:space="preserve">by </w:t>
      </w:r>
      <w:r>
        <w:rPr>
          <w:rFonts w:asciiTheme="minorHAnsi" w:eastAsiaTheme="minorHAnsi" w:hAnsiTheme="minorHAnsi" w:cstheme="minorHAnsi"/>
          <w:color w:val="242021"/>
          <w:bdr w:val="none" w:sz="0" w:space="0" w:color="auto"/>
          <w:lang w:val="bg-BG" w:eastAsia="en-US"/>
        </w:rPr>
        <w:t>J</w:t>
      </w:r>
      <w:r>
        <w:rPr>
          <w:rFonts w:asciiTheme="minorHAnsi" w:eastAsiaTheme="minorHAnsi" w:hAnsiTheme="minorHAnsi" w:cstheme="minorHAnsi"/>
          <w:color w:val="242021"/>
          <w:bdr w:val="none" w:sz="0" w:space="0" w:color="auto"/>
          <w:lang w:eastAsia="en-US"/>
        </w:rPr>
        <w:t>ohn</w:t>
      </w:r>
      <w:r>
        <w:rPr>
          <w:rFonts w:asciiTheme="minorHAnsi" w:eastAsiaTheme="minorHAnsi" w:hAnsiTheme="minorHAnsi" w:cstheme="minorHAnsi"/>
          <w:color w:val="242021"/>
          <w:bdr w:val="none" w:sz="0" w:space="0" w:color="auto"/>
          <w:lang w:val="bg-BG" w:eastAsia="en-US"/>
        </w:rPr>
        <w:t xml:space="preserve"> Law</w:t>
      </w:r>
      <w:r>
        <w:rPr>
          <w:rFonts w:asciiTheme="minorHAnsi" w:eastAsiaTheme="minorHAnsi" w:hAnsiTheme="minorHAnsi" w:cstheme="minorHAnsi"/>
          <w:color w:val="242021"/>
          <w:bdr w:val="none" w:sz="0" w:space="0" w:color="auto"/>
          <w:lang w:eastAsia="en-US"/>
        </w:rPr>
        <w:t>, 57-78.</w:t>
      </w:r>
      <w:r w:rsidRPr="00FF4611">
        <w:rPr>
          <w:rFonts w:asciiTheme="minorHAnsi" w:eastAsiaTheme="minorHAnsi" w:hAnsiTheme="minorHAnsi" w:cstheme="minorHAnsi"/>
          <w:color w:val="242021"/>
          <w:bdr w:val="none" w:sz="0" w:space="0" w:color="auto"/>
          <w:lang w:val="bg-BG" w:eastAsia="en-US"/>
        </w:rPr>
        <w:t xml:space="preserve"> Routledge, London.</w:t>
      </w:r>
    </w:p>
    <w:p w:rsidR="00A04593" w:rsidRPr="00FF4611" w:rsidRDefault="00A04593" w:rsidP="00FF4611">
      <w:pPr>
        <w:jc w:val="both"/>
        <w:rPr>
          <w:rFonts w:cstheme="minorHAnsi"/>
          <w:color w:val="000000"/>
          <w:lang w:val="en-US"/>
        </w:rPr>
      </w:pPr>
      <w:r w:rsidRPr="00FF4611">
        <w:rPr>
          <w:rFonts w:cstheme="minorHAnsi"/>
          <w:color w:val="000000"/>
          <w:lang w:val="en-US"/>
        </w:rPr>
        <w:t xml:space="preserve">Chapman, Chris, and A.J. Withers. 2019. </w:t>
      </w:r>
      <w:r w:rsidRPr="00FF4611">
        <w:rPr>
          <w:rFonts w:cstheme="minorHAnsi"/>
          <w:i/>
          <w:color w:val="000000"/>
          <w:lang w:val="en-US"/>
        </w:rPr>
        <w:t>A Violent History of Benevolence. Interlocking Oppression in the Moral Economies of Social Working</w:t>
      </w:r>
      <w:r w:rsidRPr="00FF4611">
        <w:rPr>
          <w:rFonts w:cstheme="minorHAnsi"/>
          <w:color w:val="000000"/>
          <w:lang w:val="en-US"/>
        </w:rPr>
        <w:t>. Toronto: Toronto University Press.</w:t>
      </w:r>
    </w:p>
    <w:p w:rsidR="00A04593" w:rsidRDefault="00A04593" w:rsidP="00331FCD">
      <w:pPr>
        <w:jc w:val="both"/>
        <w:rPr>
          <w:rFonts w:cstheme="minorHAnsi"/>
          <w:lang w:val="en-US"/>
        </w:rPr>
      </w:pPr>
      <w:r w:rsidRPr="00FF4611">
        <w:rPr>
          <w:rFonts w:cstheme="minorHAnsi"/>
          <w:color w:val="000000" w:themeColor="text1"/>
          <w:lang w:val="en-US"/>
        </w:rPr>
        <w:t xml:space="preserve">Council of Europe, Committee for the Prevention of Torture. 2020. </w:t>
      </w:r>
      <w:r w:rsidRPr="00FF4611">
        <w:rPr>
          <w:rFonts w:cstheme="minorHAnsi"/>
          <w:i/>
          <w:color w:val="000000" w:themeColor="text1"/>
          <w:lang w:val="en-US"/>
        </w:rPr>
        <w:t xml:space="preserve">Report to the Bulgarian Government on the </w:t>
      </w:r>
      <w:r>
        <w:rPr>
          <w:rFonts w:cstheme="minorHAnsi"/>
          <w:i/>
          <w:color w:val="000000" w:themeColor="text1"/>
          <w:lang w:val="en-US"/>
        </w:rPr>
        <w:t>V</w:t>
      </w:r>
      <w:r w:rsidRPr="00FF4611">
        <w:rPr>
          <w:rFonts w:cstheme="minorHAnsi"/>
          <w:i/>
          <w:color w:val="000000" w:themeColor="text1"/>
          <w:lang w:val="en-US"/>
        </w:rPr>
        <w:t xml:space="preserve">isit to Bulgaria </w:t>
      </w:r>
      <w:r>
        <w:rPr>
          <w:rFonts w:cstheme="minorHAnsi"/>
          <w:i/>
          <w:color w:val="000000" w:themeColor="text1"/>
          <w:lang w:val="en-US"/>
        </w:rPr>
        <w:t>C</w:t>
      </w:r>
      <w:r w:rsidRPr="00FF4611">
        <w:rPr>
          <w:rFonts w:cstheme="minorHAnsi"/>
          <w:i/>
          <w:color w:val="000000" w:themeColor="text1"/>
          <w:lang w:val="en-US"/>
        </w:rPr>
        <w:t xml:space="preserve">arried </w:t>
      </w:r>
      <w:r>
        <w:rPr>
          <w:rFonts w:cstheme="minorHAnsi"/>
          <w:i/>
          <w:color w:val="000000" w:themeColor="text1"/>
          <w:lang w:val="en-US"/>
        </w:rPr>
        <w:t>O</w:t>
      </w:r>
      <w:r w:rsidRPr="00FF4611">
        <w:rPr>
          <w:rFonts w:cstheme="minorHAnsi"/>
          <w:i/>
          <w:color w:val="000000" w:themeColor="text1"/>
          <w:lang w:val="en-US"/>
        </w:rPr>
        <w:t>ut by the European Committee for the Prevention of Torture and Inhuman or Degrading Treatment or Punishment (CPT) from 10 to 21 August 2020</w:t>
      </w:r>
      <w:r w:rsidRPr="00FF4611">
        <w:rPr>
          <w:rFonts w:cstheme="minorHAnsi"/>
          <w:color w:val="000000" w:themeColor="text1"/>
          <w:lang w:val="en-US"/>
        </w:rPr>
        <w:t xml:space="preserve">. Strasbourg: Council of Europe, </w:t>
      </w:r>
      <w:hyperlink r:id="rId10" w:history="1">
        <w:r w:rsidRPr="00A84F76">
          <w:rPr>
            <w:rStyle w:val="Hyperlink"/>
            <w:rFonts w:cstheme="minorHAnsi"/>
          </w:rPr>
          <w:t>https://rm.coe.int/1680a090b7</w:t>
        </w:r>
      </w:hyperlink>
      <w:r w:rsidRPr="00FF4611">
        <w:rPr>
          <w:rFonts w:cstheme="minorHAnsi"/>
          <w:lang w:val="en-US"/>
        </w:rPr>
        <w:t>.</w:t>
      </w:r>
    </w:p>
    <w:p w:rsidR="00A04593" w:rsidRPr="00FF4611" w:rsidRDefault="00A04593" w:rsidP="00E5563D">
      <w:pPr>
        <w:pStyle w:val="Body"/>
        <w:jc w:val="both"/>
        <w:rPr>
          <w:rFonts w:asciiTheme="minorHAnsi" w:eastAsiaTheme="minorHAnsi" w:hAnsiTheme="minorHAnsi" w:cstheme="minorHAnsi"/>
          <w:bdr w:val="none" w:sz="0" w:space="0" w:color="auto"/>
          <w:lang w:eastAsia="en-US"/>
        </w:rPr>
      </w:pPr>
      <w:r w:rsidRPr="00FF4611">
        <w:rPr>
          <w:rFonts w:asciiTheme="minorHAnsi" w:hAnsiTheme="minorHAnsi" w:cstheme="minorHAnsi"/>
          <w:bCs/>
        </w:rPr>
        <w:t xml:space="preserve">Crossley, Nick. 2006. </w:t>
      </w:r>
      <w:r w:rsidRPr="00FF4611">
        <w:rPr>
          <w:rFonts w:asciiTheme="minorHAnsi" w:eastAsiaTheme="minorHAnsi" w:hAnsiTheme="minorHAnsi" w:cstheme="minorHAnsi"/>
          <w:bCs/>
          <w:i/>
          <w:bdr w:val="none" w:sz="0" w:space="0" w:color="auto"/>
          <w:lang w:val="bg-BG" w:eastAsia="en-US"/>
        </w:rPr>
        <w:t>Contesting Psychiatry</w:t>
      </w:r>
      <w:r w:rsidRPr="00FF4611">
        <w:rPr>
          <w:rFonts w:asciiTheme="minorHAnsi" w:eastAsiaTheme="minorHAnsi" w:hAnsiTheme="minorHAnsi" w:cstheme="minorHAnsi"/>
          <w:bCs/>
          <w:i/>
          <w:bdr w:val="none" w:sz="0" w:space="0" w:color="auto"/>
          <w:lang w:eastAsia="en-US"/>
        </w:rPr>
        <w:t xml:space="preserve">. </w:t>
      </w:r>
      <w:r w:rsidRPr="00FF4611">
        <w:rPr>
          <w:rFonts w:asciiTheme="minorHAnsi" w:eastAsiaTheme="minorHAnsi" w:hAnsiTheme="minorHAnsi" w:cstheme="minorHAnsi"/>
          <w:i/>
          <w:bdr w:val="none" w:sz="0" w:space="0" w:color="auto"/>
          <w:lang w:val="bg-BG" w:eastAsia="en-US"/>
        </w:rPr>
        <w:t>Social movements in mental health</w:t>
      </w:r>
      <w:r w:rsidRPr="00FF4611">
        <w:rPr>
          <w:rFonts w:asciiTheme="minorHAnsi" w:eastAsiaTheme="minorHAnsi" w:hAnsiTheme="minorHAnsi" w:cstheme="minorHAnsi"/>
          <w:bdr w:val="none" w:sz="0" w:space="0" w:color="auto"/>
          <w:lang w:eastAsia="en-US"/>
        </w:rPr>
        <w:t>. London and New York: Routledge.</w:t>
      </w:r>
    </w:p>
    <w:p w:rsidR="00A04593" w:rsidRPr="00E62CF9" w:rsidRDefault="00A04593" w:rsidP="00FF4611">
      <w:pPr>
        <w:jc w:val="both"/>
        <w:rPr>
          <w:rFonts w:cstheme="minorHAnsi"/>
          <w:lang w:val="en-US"/>
        </w:rPr>
      </w:pPr>
      <w:r w:rsidRPr="00FF4611">
        <w:rPr>
          <w:rFonts w:cstheme="minorHAnsi"/>
          <w:lang w:val="en-US"/>
        </w:rPr>
        <w:t xml:space="preserve">Dimitrova, Ina. 2021. “‘Nothing About You Without Us!’ The Social Psychiatry Project in Socialist Bulgaria.” </w:t>
      </w:r>
      <w:r w:rsidRPr="00FF4611">
        <w:rPr>
          <w:rFonts w:cstheme="minorHAnsi"/>
          <w:i/>
          <w:lang w:val="en-US"/>
        </w:rPr>
        <w:t>Critique &amp; Humanism</w:t>
      </w:r>
      <w:r w:rsidRPr="00FF4611">
        <w:rPr>
          <w:rFonts w:cstheme="minorHAnsi"/>
          <w:lang w:val="en-US"/>
        </w:rPr>
        <w:t xml:space="preserve"> 55</w:t>
      </w:r>
      <w:r>
        <w:rPr>
          <w:rFonts w:cstheme="minorHAnsi"/>
          <w:lang w:val="en-US"/>
        </w:rPr>
        <w:t xml:space="preserve"> </w:t>
      </w:r>
      <w:r w:rsidRPr="00FF4611">
        <w:rPr>
          <w:rFonts w:cstheme="minorHAnsi"/>
          <w:lang w:val="en-US"/>
        </w:rPr>
        <w:t>(2)</w:t>
      </w:r>
      <w:r>
        <w:rPr>
          <w:rFonts w:cstheme="minorHAnsi"/>
          <w:lang w:val="en-US"/>
        </w:rPr>
        <w:t>:23-46.</w:t>
      </w:r>
    </w:p>
    <w:p w:rsidR="00A04593" w:rsidRPr="00E62CF9" w:rsidRDefault="00A04593" w:rsidP="00E5563D">
      <w:pPr>
        <w:pStyle w:val="Body"/>
        <w:jc w:val="both"/>
        <w:rPr>
          <w:rFonts w:asciiTheme="minorHAnsi" w:hAnsiTheme="minorHAnsi" w:cstheme="minorHAnsi"/>
          <w:color w:val="232323"/>
          <w:shd w:val="clear" w:color="auto" w:fill="FFFFFF"/>
        </w:rPr>
      </w:pPr>
      <w:r w:rsidRPr="00FF4611">
        <w:rPr>
          <w:rFonts w:asciiTheme="minorHAnsi" w:hAnsiTheme="minorHAnsi" w:cstheme="minorHAnsi"/>
          <w:color w:val="232323"/>
          <w:shd w:val="clear" w:color="auto" w:fill="FFFFFF"/>
        </w:rPr>
        <w:t>Foucault, M</w:t>
      </w:r>
      <w:r>
        <w:rPr>
          <w:rFonts w:asciiTheme="minorHAnsi" w:hAnsiTheme="minorHAnsi" w:cstheme="minorHAnsi"/>
          <w:color w:val="232323"/>
          <w:shd w:val="clear" w:color="auto" w:fill="FFFFFF"/>
        </w:rPr>
        <w:t>ichel. 1983</w:t>
      </w:r>
      <w:r w:rsidRPr="00FF4611">
        <w:rPr>
          <w:rFonts w:asciiTheme="minorHAnsi" w:hAnsiTheme="minorHAnsi" w:cstheme="minorHAnsi"/>
          <w:color w:val="232323"/>
          <w:shd w:val="clear" w:color="auto" w:fill="FFFFFF"/>
        </w:rPr>
        <w:t xml:space="preserve">. </w:t>
      </w:r>
      <w:r>
        <w:rPr>
          <w:rFonts w:asciiTheme="minorHAnsi" w:hAnsiTheme="minorHAnsi" w:cstheme="minorHAnsi"/>
          <w:color w:val="232323"/>
          <w:shd w:val="clear" w:color="auto" w:fill="FFFFFF"/>
        </w:rPr>
        <w:t>“</w:t>
      </w:r>
      <w:r w:rsidRPr="00FF4611">
        <w:rPr>
          <w:rFonts w:asciiTheme="minorHAnsi" w:hAnsiTheme="minorHAnsi" w:cstheme="minorHAnsi"/>
          <w:color w:val="232323"/>
          <w:shd w:val="clear" w:color="auto" w:fill="FFFFFF"/>
        </w:rPr>
        <w:t xml:space="preserve">The </w:t>
      </w:r>
      <w:r>
        <w:rPr>
          <w:rFonts w:asciiTheme="minorHAnsi" w:hAnsiTheme="minorHAnsi" w:cstheme="minorHAnsi"/>
          <w:color w:val="232323"/>
          <w:shd w:val="clear" w:color="auto" w:fill="FFFFFF"/>
        </w:rPr>
        <w:t>S</w:t>
      </w:r>
      <w:r w:rsidRPr="00FF4611">
        <w:rPr>
          <w:rFonts w:asciiTheme="minorHAnsi" w:hAnsiTheme="minorHAnsi" w:cstheme="minorHAnsi"/>
          <w:color w:val="232323"/>
          <w:shd w:val="clear" w:color="auto" w:fill="FFFFFF"/>
        </w:rPr>
        <w:t xml:space="preserve">ubject and </w:t>
      </w:r>
      <w:r>
        <w:rPr>
          <w:rFonts w:asciiTheme="minorHAnsi" w:hAnsiTheme="minorHAnsi" w:cstheme="minorHAnsi"/>
          <w:color w:val="232323"/>
          <w:shd w:val="clear" w:color="auto" w:fill="FFFFFF"/>
        </w:rPr>
        <w:t>P</w:t>
      </w:r>
      <w:r w:rsidRPr="00FF4611">
        <w:rPr>
          <w:rFonts w:asciiTheme="minorHAnsi" w:hAnsiTheme="minorHAnsi" w:cstheme="minorHAnsi"/>
          <w:color w:val="232323"/>
          <w:shd w:val="clear" w:color="auto" w:fill="FFFFFF"/>
        </w:rPr>
        <w:t>ower.</w:t>
      </w:r>
      <w:r>
        <w:rPr>
          <w:rFonts w:asciiTheme="minorHAnsi" w:hAnsiTheme="minorHAnsi" w:cstheme="minorHAnsi"/>
          <w:color w:val="232323"/>
          <w:shd w:val="clear" w:color="auto" w:fill="FFFFFF"/>
        </w:rPr>
        <w:t>”</w:t>
      </w:r>
      <w:r w:rsidRPr="00FF4611">
        <w:rPr>
          <w:rFonts w:asciiTheme="minorHAnsi" w:hAnsiTheme="minorHAnsi" w:cstheme="minorHAnsi"/>
          <w:color w:val="232323"/>
          <w:shd w:val="clear" w:color="auto" w:fill="FFFFFF"/>
        </w:rPr>
        <w:t xml:space="preserve"> In </w:t>
      </w:r>
      <w:r w:rsidRPr="00E62CF9">
        <w:rPr>
          <w:rFonts w:asciiTheme="minorHAnsi" w:hAnsiTheme="minorHAnsi" w:cstheme="minorHAnsi"/>
          <w:i/>
          <w:color w:val="232323"/>
          <w:shd w:val="clear" w:color="auto" w:fill="FFFFFF"/>
        </w:rPr>
        <w:t>Michel Foucault: Beyond Structuralism and Hermeneutics</w:t>
      </w:r>
      <w:r>
        <w:rPr>
          <w:rFonts w:asciiTheme="minorHAnsi" w:hAnsiTheme="minorHAnsi" w:cstheme="minorHAnsi"/>
          <w:color w:val="232323"/>
          <w:shd w:val="clear" w:color="auto" w:fill="FFFFFF"/>
        </w:rPr>
        <w:t xml:space="preserve"> edited by </w:t>
      </w:r>
      <w:r w:rsidRPr="00FF4611">
        <w:rPr>
          <w:rFonts w:asciiTheme="minorHAnsi" w:hAnsiTheme="minorHAnsi" w:cstheme="minorHAnsi"/>
          <w:color w:val="232323"/>
          <w:shd w:val="clear" w:color="auto" w:fill="FFFFFF"/>
        </w:rPr>
        <w:t>H</w:t>
      </w:r>
      <w:r>
        <w:rPr>
          <w:rFonts w:asciiTheme="minorHAnsi" w:hAnsiTheme="minorHAnsi" w:cstheme="minorHAnsi"/>
          <w:color w:val="232323"/>
          <w:shd w:val="clear" w:color="auto" w:fill="FFFFFF"/>
        </w:rPr>
        <w:t>ubert Dreyfus and Paul Rabinow, 208–26</w:t>
      </w:r>
      <w:r w:rsidRPr="00FF4611">
        <w:rPr>
          <w:rFonts w:asciiTheme="minorHAnsi" w:hAnsiTheme="minorHAnsi" w:cstheme="minorHAnsi"/>
          <w:color w:val="232323"/>
          <w:shd w:val="clear" w:color="auto" w:fill="FFFFFF"/>
        </w:rPr>
        <w:t>. Chicago, IL: University of Chicago.</w:t>
      </w:r>
    </w:p>
    <w:p w:rsidR="00A04593" w:rsidRPr="00FF4611" w:rsidRDefault="00A04593" w:rsidP="00FF4611">
      <w:pPr>
        <w:jc w:val="both"/>
        <w:rPr>
          <w:rFonts w:cstheme="minorHAnsi"/>
          <w:color w:val="000000"/>
          <w:lang w:val="en-US"/>
        </w:rPr>
      </w:pPr>
      <w:r>
        <w:rPr>
          <w:rFonts w:cstheme="minorHAnsi"/>
          <w:color w:val="000000"/>
        </w:rPr>
        <w:t>Foucault</w:t>
      </w:r>
      <w:r>
        <w:rPr>
          <w:rFonts w:cstheme="minorHAnsi"/>
          <w:color w:val="000000"/>
          <w:lang w:val="en-US"/>
        </w:rPr>
        <w:t>, Michel. 2007.</w:t>
      </w:r>
      <w:r w:rsidRPr="00FF4611">
        <w:rPr>
          <w:rFonts w:cstheme="minorHAnsi"/>
          <w:color w:val="000000"/>
        </w:rPr>
        <w:t xml:space="preserve"> </w:t>
      </w:r>
      <w:r w:rsidRPr="00FF4611">
        <w:rPr>
          <w:rFonts w:cstheme="minorHAnsi"/>
          <w:i/>
          <w:iCs/>
          <w:color w:val="000000"/>
        </w:rPr>
        <w:t>Security, Territory, Population: Lectures</w:t>
      </w:r>
      <w:r>
        <w:rPr>
          <w:rFonts w:cstheme="minorHAnsi"/>
          <w:i/>
          <w:iCs/>
          <w:color w:val="000000"/>
          <w:lang w:val="en-US"/>
        </w:rPr>
        <w:t xml:space="preserve"> </w:t>
      </w:r>
      <w:r w:rsidRPr="00FF4611">
        <w:rPr>
          <w:rFonts w:cstheme="minorHAnsi"/>
          <w:i/>
          <w:iCs/>
          <w:color w:val="000000"/>
        </w:rPr>
        <w:t>at the Collège de France, 1977–1978</w:t>
      </w:r>
      <w:r>
        <w:rPr>
          <w:rFonts w:cstheme="minorHAnsi"/>
          <w:color w:val="000000"/>
        </w:rPr>
        <w:t>.</w:t>
      </w:r>
      <w:r w:rsidRPr="00FF4611">
        <w:rPr>
          <w:rFonts w:cstheme="minorHAnsi"/>
          <w:color w:val="000000"/>
        </w:rPr>
        <w:t xml:space="preserve"> New York &amp; Basingstoke: Palgrave Macmillan.</w:t>
      </w:r>
    </w:p>
    <w:p w:rsidR="00A04593" w:rsidRDefault="00A04593" w:rsidP="00E5563D">
      <w:pPr>
        <w:pStyle w:val="Body"/>
        <w:jc w:val="both"/>
        <w:rPr>
          <w:rFonts w:asciiTheme="minorHAnsi" w:hAnsiTheme="minorHAnsi" w:cstheme="minorHAnsi"/>
        </w:rPr>
      </w:pPr>
      <w:r w:rsidRPr="00FF4611">
        <w:rPr>
          <w:rFonts w:asciiTheme="minorHAnsi" w:hAnsiTheme="minorHAnsi" w:cstheme="minorHAnsi"/>
        </w:rPr>
        <w:t>Fricker, M</w:t>
      </w:r>
      <w:r>
        <w:rPr>
          <w:rFonts w:asciiTheme="minorHAnsi" w:hAnsiTheme="minorHAnsi" w:cstheme="minorHAnsi"/>
        </w:rPr>
        <w:t>iranda. 2007.</w:t>
      </w:r>
      <w:r w:rsidRPr="00FF4611">
        <w:rPr>
          <w:rFonts w:asciiTheme="minorHAnsi" w:hAnsiTheme="minorHAnsi" w:cstheme="minorHAnsi"/>
        </w:rPr>
        <w:t xml:space="preserve"> </w:t>
      </w:r>
      <w:r w:rsidRPr="00FF4611">
        <w:rPr>
          <w:rFonts w:asciiTheme="minorHAnsi" w:hAnsiTheme="minorHAnsi" w:cstheme="minorHAnsi"/>
          <w:i/>
          <w:iCs/>
        </w:rPr>
        <w:t>Epistemic Injustice – Power and the Ethics of Knowing</w:t>
      </w:r>
      <w:r w:rsidRPr="00FF4611">
        <w:rPr>
          <w:rFonts w:asciiTheme="minorHAnsi" w:hAnsiTheme="minorHAnsi" w:cstheme="minorHAnsi"/>
        </w:rPr>
        <w:t>. Oxford: Oxford UP.</w:t>
      </w:r>
    </w:p>
    <w:p w:rsidR="0054725C" w:rsidRPr="00FF4611" w:rsidRDefault="0054725C" w:rsidP="00E5563D">
      <w:pPr>
        <w:pStyle w:val="Body"/>
        <w:jc w:val="both"/>
        <w:rPr>
          <w:rFonts w:asciiTheme="minorHAnsi" w:eastAsiaTheme="minorHAnsi" w:hAnsiTheme="minorHAnsi" w:cstheme="minorHAnsi"/>
          <w:color w:val="242021"/>
          <w:bdr w:val="none" w:sz="0" w:space="0" w:color="auto"/>
          <w:lang w:eastAsia="en-US"/>
        </w:rPr>
      </w:pPr>
      <w:r>
        <w:rPr>
          <w:rFonts w:asciiTheme="minorHAnsi" w:hAnsiTheme="minorHAnsi" w:cstheme="minorHAnsi"/>
        </w:rPr>
        <w:t>G</w:t>
      </w:r>
      <w:r w:rsidR="00A91854">
        <w:rPr>
          <w:rFonts w:asciiTheme="minorHAnsi" w:hAnsiTheme="minorHAnsi" w:cstheme="minorHAnsi"/>
        </w:rPr>
        <w:t>ollder,</w:t>
      </w:r>
      <w:r>
        <w:rPr>
          <w:rFonts w:asciiTheme="minorHAnsi" w:hAnsiTheme="minorHAnsi" w:cstheme="minorHAnsi"/>
        </w:rPr>
        <w:t xml:space="preserve"> Ben. 2007. “Foucault and the Genealogy of Pastoral Power.” Radical Philosophy Review </w:t>
      </w:r>
      <w:r w:rsidR="00A91854">
        <w:rPr>
          <w:rFonts w:asciiTheme="minorHAnsi" w:hAnsiTheme="minorHAnsi" w:cstheme="minorHAnsi"/>
        </w:rPr>
        <w:t xml:space="preserve">10 (2):157-76. doi: </w:t>
      </w:r>
    </w:p>
    <w:p w:rsidR="00A04593" w:rsidRPr="007B04A7" w:rsidRDefault="00A04593" w:rsidP="007B04A7">
      <w:pPr>
        <w:jc w:val="both"/>
        <w:rPr>
          <w:rFonts w:eastAsia="Calibri" w:cstheme="minorHAnsi"/>
          <w:lang w:val="en-US"/>
        </w:rPr>
      </w:pPr>
      <w:r w:rsidRPr="00FF4611">
        <w:rPr>
          <w:rFonts w:cstheme="minorHAnsi"/>
        </w:rPr>
        <w:t>Grey, Flick. “</w:t>
      </w:r>
      <w:r>
        <w:rPr>
          <w:rFonts w:cstheme="minorHAnsi"/>
        </w:rPr>
        <w:t>Benevolent O</w:t>
      </w:r>
      <w:r w:rsidRPr="00FF4611">
        <w:rPr>
          <w:rFonts w:cstheme="minorHAnsi"/>
        </w:rPr>
        <w:t xml:space="preserve">thering: Speaking Positively About Mental Health Service.” </w:t>
      </w:r>
      <w:r w:rsidRPr="00FF4611">
        <w:rPr>
          <w:rFonts w:cstheme="minorHAnsi"/>
          <w:i/>
        </w:rPr>
        <w:t xml:space="preserve">Philosophy, </w:t>
      </w:r>
      <w:r w:rsidRPr="007B04A7">
        <w:rPr>
          <w:rFonts w:cstheme="minorHAnsi"/>
          <w:i/>
        </w:rPr>
        <w:t>Psychiatry, &amp; Psychology</w:t>
      </w:r>
      <w:r w:rsidRPr="007B04A7">
        <w:rPr>
          <w:rFonts w:cstheme="minorHAnsi"/>
        </w:rPr>
        <w:t xml:space="preserve"> 23 (3-4):241–51. doi: </w:t>
      </w:r>
      <w:hyperlink r:id="rId11" w:tgtFrame="_blank" w:history="1">
        <w:r w:rsidRPr="007B04A7">
          <w:rPr>
            <w:rStyle w:val="Hyperlink"/>
            <w:rFonts w:cstheme="minorHAnsi"/>
            <w:color w:val="auto"/>
            <w:u w:val="none"/>
            <w:bdr w:val="none" w:sz="0" w:space="0" w:color="auto" w:frame="1"/>
          </w:rPr>
          <w:t>10.1353/ppp.2016.0025</w:t>
        </w:r>
      </w:hyperlink>
      <w:r>
        <w:rPr>
          <w:rFonts w:cstheme="minorHAnsi"/>
          <w:lang w:val="en-US"/>
        </w:rPr>
        <w:t>.</w:t>
      </w:r>
    </w:p>
    <w:p w:rsidR="00A04593" w:rsidRPr="0061756E" w:rsidRDefault="00A04593" w:rsidP="00FF4611">
      <w:pPr>
        <w:jc w:val="both"/>
        <w:rPr>
          <w:rFonts w:cstheme="minorHAnsi"/>
          <w:color w:val="0E101A"/>
          <w:lang w:val="en-US"/>
        </w:rPr>
      </w:pPr>
      <w:r>
        <w:rPr>
          <w:rFonts w:cstheme="minorHAnsi"/>
          <w:color w:val="0E101A"/>
          <w:lang w:val="en-US"/>
        </w:rPr>
        <w:t>Hristakeva</w:t>
      </w:r>
      <w:r w:rsidRPr="00FF4611">
        <w:rPr>
          <w:rFonts w:cstheme="minorHAnsi"/>
          <w:color w:val="0E101A"/>
        </w:rPr>
        <w:t>,</w:t>
      </w:r>
      <w:r>
        <w:rPr>
          <w:rFonts w:cstheme="minorHAnsi"/>
          <w:color w:val="0E101A"/>
          <w:lang w:val="en-US"/>
        </w:rPr>
        <w:t xml:space="preserve"> Valentina.</w:t>
      </w:r>
      <w:r w:rsidRPr="00FF4611">
        <w:rPr>
          <w:rFonts w:cstheme="minorHAnsi"/>
          <w:color w:val="0E101A"/>
        </w:rPr>
        <w:t xml:space="preserve"> 2019. </w:t>
      </w:r>
      <w:r>
        <w:rPr>
          <w:rFonts w:cstheme="minorHAnsi"/>
          <w:color w:val="0E101A"/>
          <w:lang w:val="en-US"/>
        </w:rPr>
        <w:t>“Nevidimite i socialnite” [The Invisibles and the Social Workers],</w:t>
      </w:r>
      <w:r w:rsidRPr="00FF4611">
        <w:rPr>
          <w:rFonts w:cstheme="minorHAnsi"/>
          <w:color w:val="0E101A"/>
        </w:rPr>
        <w:t xml:space="preserve"> </w:t>
      </w:r>
      <w:hyperlink r:id="rId12" w:history="1">
        <w:r w:rsidRPr="00FF4611">
          <w:rPr>
            <w:rStyle w:val="Hyperlink"/>
            <w:rFonts w:cstheme="minorHAnsi"/>
          </w:rPr>
          <w:t>https://www.actualno.com/actualno/nevidimite-i-socialnite-news_1415084.html</w:t>
        </w:r>
      </w:hyperlink>
      <w:r>
        <w:rPr>
          <w:lang w:val="en-US"/>
        </w:rPr>
        <w:t>.</w:t>
      </w:r>
    </w:p>
    <w:p w:rsidR="00A04593" w:rsidRPr="00FF4611" w:rsidRDefault="00A04593" w:rsidP="00FF4611">
      <w:pPr>
        <w:jc w:val="both"/>
        <w:rPr>
          <w:rFonts w:cstheme="minorHAnsi"/>
          <w:lang w:val="en-US"/>
        </w:rPr>
      </w:pPr>
      <w:r w:rsidRPr="00FF4611">
        <w:rPr>
          <w:rFonts w:cstheme="minorHAnsi"/>
          <w:lang w:val="en-US"/>
        </w:rPr>
        <w:t xml:space="preserve">Hristozov, Hristo. 1980. </w:t>
      </w:r>
      <w:r w:rsidRPr="00FF4611">
        <w:rPr>
          <w:rFonts w:cstheme="minorHAnsi"/>
          <w:i/>
          <w:lang w:val="en-US"/>
        </w:rPr>
        <w:t>Strahovete u decata. Klinichno izsledvane</w:t>
      </w:r>
      <w:r>
        <w:rPr>
          <w:rFonts w:cstheme="minorHAnsi"/>
          <w:lang w:val="en-US"/>
        </w:rPr>
        <w:t xml:space="preserve"> [</w:t>
      </w:r>
      <w:r w:rsidRPr="00FF4611">
        <w:rPr>
          <w:rFonts w:cstheme="minorHAnsi"/>
          <w:lang w:val="en-US"/>
        </w:rPr>
        <w:t>Childrens’</w:t>
      </w:r>
      <w:r>
        <w:rPr>
          <w:rFonts w:cstheme="minorHAnsi"/>
          <w:lang w:val="en-US"/>
        </w:rPr>
        <w:t xml:space="preserve"> Fears. Clinical Study]</w:t>
      </w:r>
      <w:r w:rsidRPr="00FF4611">
        <w:rPr>
          <w:rFonts w:cstheme="minorHAnsi"/>
          <w:lang w:val="en-US"/>
        </w:rPr>
        <w:t>. Sofia: Medicina i Fizkultura.</w:t>
      </w:r>
    </w:p>
    <w:p w:rsidR="00A04593" w:rsidRPr="00E62CF9" w:rsidRDefault="00A04593" w:rsidP="00E62CF9">
      <w:pPr>
        <w:pStyle w:val="Body"/>
        <w:jc w:val="both"/>
        <w:rPr>
          <w:rFonts w:asciiTheme="minorHAnsi" w:hAnsiTheme="minorHAnsi" w:cstheme="minorHAnsi"/>
          <w:color w:val="auto"/>
        </w:rPr>
      </w:pPr>
      <w:r>
        <w:rPr>
          <w:rFonts w:asciiTheme="minorHAnsi" w:hAnsiTheme="minorHAnsi" w:cstheme="minorHAnsi"/>
          <w:bCs/>
        </w:rPr>
        <w:t>Hsieh, Hsiu-Fang</w:t>
      </w:r>
      <w:r w:rsidRPr="00FF4611">
        <w:rPr>
          <w:rFonts w:asciiTheme="minorHAnsi" w:hAnsiTheme="minorHAnsi" w:cstheme="minorHAnsi"/>
          <w:bCs/>
        </w:rPr>
        <w:t xml:space="preserve">, </w:t>
      </w:r>
      <w:r>
        <w:rPr>
          <w:rFonts w:asciiTheme="minorHAnsi" w:hAnsiTheme="minorHAnsi" w:cstheme="minorHAnsi"/>
          <w:bCs/>
        </w:rPr>
        <w:t>and</w:t>
      </w:r>
      <w:r w:rsidRPr="00FF4611">
        <w:rPr>
          <w:rFonts w:asciiTheme="minorHAnsi" w:hAnsiTheme="minorHAnsi" w:cstheme="minorHAnsi"/>
          <w:bCs/>
        </w:rPr>
        <w:t xml:space="preserve"> </w:t>
      </w:r>
      <w:r>
        <w:rPr>
          <w:rFonts w:asciiTheme="minorHAnsi" w:hAnsiTheme="minorHAnsi" w:cstheme="minorHAnsi"/>
          <w:bCs/>
        </w:rPr>
        <w:t xml:space="preserve">Sarah </w:t>
      </w:r>
      <w:r w:rsidRPr="00FF4611">
        <w:rPr>
          <w:rFonts w:asciiTheme="minorHAnsi" w:hAnsiTheme="minorHAnsi" w:cstheme="minorHAnsi"/>
          <w:bCs/>
        </w:rPr>
        <w:t>Shannon</w:t>
      </w:r>
      <w:r>
        <w:rPr>
          <w:rFonts w:asciiTheme="minorHAnsi" w:hAnsiTheme="minorHAnsi" w:cstheme="minorHAnsi"/>
          <w:bCs/>
        </w:rPr>
        <w:t>. 2005</w:t>
      </w:r>
      <w:r w:rsidRPr="00FF4611">
        <w:rPr>
          <w:rFonts w:asciiTheme="minorHAnsi" w:hAnsiTheme="minorHAnsi" w:cstheme="minorHAnsi"/>
          <w:bCs/>
        </w:rPr>
        <w:t xml:space="preserve">. </w:t>
      </w:r>
      <w:r>
        <w:rPr>
          <w:rFonts w:asciiTheme="minorHAnsi" w:hAnsiTheme="minorHAnsi" w:cstheme="minorHAnsi"/>
          <w:bCs/>
        </w:rPr>
        <w:t>“</w:t>
      </w:r>
      <w:r w:rsidRPr="00FF4611">
        <w:rPr>
          <w:rFonts w:asciiTheme="minorHAnsi" w:hAnsiTheme="minorHAnsi" w:cstheme="minorHAnsi"/>
          <w:bCs/>
        </w:rPr>
        <w:t xml:space="preserve">Three </w:t>
      </w:r>
      <w:r>
        <w:rPr>
          <w:rFonts w:asciiTheme="minorHAnsi" w:hAnsiTheme="minorHAnsi" w:cstheme="minorHAnsi"/>
          <w:bCs/>
        </w:rPr>
        <w:t>A</w:t>
      </w:r>
      <w:r w:rsidRPr="00FF4611">
        <w:rPr>
          <w:rFonts w:asciiTheme="minorHAnsi" w:hAnsiTheme="minorHAnsi" w:cstheme="minorHAnsi"/>
          <w:bCs/>
        </w:rPr>
        <w:t xml:space="preserve">pproaches to </w:t>
      </w:r>
      <w:r>
        <w:rPr>
          <w:rFonts w:asciiTheme="minorHAnsi" w:hAnsiTheme="minorHAnsi" w:cstheme="minorHAnsi"/>
          <w:bCs/>
        </w:rPr>
        <w:t>Q</w:t>
      </w:r>
      <w:r w:rsidRPr="00FF4611">
        <w:rPr>
          <w:rFonts w:asciiTheme="minorHAnsi" w:hAnsiTheme="minorHAnsi" w:cstheme="minorHAnsi"/>
          <w:bCs/>
        </w:rPr>
        <w:t xml:space="preserve">ualitative </w:t>
      </w:r>
      <w:r>
        <w:rPr>
          <w:rFonts w:asciiTheme="minorHAnsi" w:hAnsiTheme="minorHAnsi" w:cstheme="minorHAnsi"/>
          <w:bCs/>
        </w:rPr>
        <w:t>C</w:t>
      </w:r>
      <w:r w:rsidRPr="00FF4611">
        <w:rPr>
          <w:rFonts w:asciiTheme="minorHAnsi" w:hAnsiTheme="minorHAnsi" w:cstheme="minorHAnsi"/>
          <w:bCs/>
        </w:rPr>
        <w:t>o</w:t>
      </w:r>
      <w:r>
        <w:rPr>
          <w:rFonts w:asciiTheme="minorHAnsi" w:hAnsiTheme="minorHAnsi" w:cstheme="minorHAnsi"/>
          <w:bCs/>
        </w:rPr>
        <w:t xml:space="preserve">ntent Analysis.” </w:t>
      </w:r>
      <w:r w:rsidRPr="00E62CF9">
        <w:rPr>
          <w:rFonts w:asciiTheme="minorHAnsi" w:hAnsiTheme="minorHAnsi" w:cstheme="minorHAnsi"/>
          <w:bCs/>
          <w:i/>
          <w:color w:val="auto"/>
        </w:rPr>
        <w:t>Qualitative Health Research</w:t>
      </w:r>
      <w:r w:rsidRPr="00E62CF9">
        <w:rPr>
          <w:rFonts w:asciiTheme="minorHAnsi" w:hAnsiTheme="minorHAnsi" w:cstheme="minorHAnsi"/>
          <w:bCs/>
          <w:color w:val="auto"/>
        </w:rPr>
        <w:t xml:space="preserve">, </w:t>
      </w:r>
      <w:r>
        <w:rPr>
          <w:rFonts w:asciiTheme="minorHAnsi" w:hAnsiTheme="minorHAnsi" w:cstheme="minorHAnsi"/>
          <w:color w:val="auto"/>
        </w:rPr>
        <w:t>15 (9):</w:t>
      </w:r>
      <w:r w:rsidRPr="00E62CF9">
        <w:rPr>
          <w:rFonts w:asciiTheme="minorHAnsi" w:hAnsiTheme="minorHAnsi" w:cstheme="minorHAnsi"/>
          <w:color w:val="auto"/>
        </w:rPr>
        <w:t xml:space="preserve">1277–88. doi: </w:t>
      </w:r>
      <w:hyperlink r:id="rId13" w:history="1">
        <w:r w:rsidRPr="00E62CF9">
          <w:rPr>
            <w:rStyle w:val="Hyperlink"/>
            <w:rFonts w:asciiTheme="minorHAnsi" w:hAnsiTheme="minorHAnsi" w:cstheme="minorHAnsi"/>
            <w:color w:val="auto"/>
            <w:u w:val="none"/>
          </w:rPr>
          <w:t>10.1177/1049732305276687</w:t>
        </w:r>
      </w:hyperlink>
      <w:r w:rsidRPr="00E62CF9">
        <w:rPr>
          <w:rFonts w:asciiTheme="minorHAnsi" w:hAnsiTheme="minorHAnsi" w:cstheme="minorHAnsi"/>
          <w:color w:val="auto"/>
        </w:rPr>
        <w:t>.</w:t>
      </w:r>
    </w:p>
    <w:p w:rsidR="00A04593" w:rsidRPr="00FF4611" w:rsidRDefault="00A04593" w:rsidP="00FF4611">
      <w:pPr>
        <w:jc w:val="both"/>
        <w:rPr>
          <w:rFonts w:cstheme="minorHAnsi"/>
          <w:color w:val="000000"/>
          <w:lang w:val="en-US"/>
        </w:rPr>
      </w:pPr>
      <w:r w:rsidRPr="00FF4611">
        <w:rPr>
          <w:rFonts w:cstheme="minorHAnsi"/>
          <w:color w:val="000000"/>
          <w:lang w:val="en-US"/>
        </w:rPr>
        <w:t xml:space="preserve">Hunter, Kathryn M. 1991. </w:t>
      </w:r>
      <w:r w:rsidRPr="00FF4611">
        <w:rPr>
          <w:rFonts w:cstheme="minorHAnsi"/>
          <w:i/>
          <w:color w:val="000000"/>
        </w:rPr>
        <w:t>Doctors</w:t>
      </w:r>
      <w:r w:rsidRPr="00FF4611">
        <w:rPr>
          <w:rFonts w:cstheme="minorHAnsi"/>
          <w:i/>
          <w:color w:val="000000"/>
          <w:lang w:val="en-US"/>
        </w:rPr>
        <w:t>’</w:t>
      </w:r>
      <w:r w:rsidRPr="00FF4611">
        <w:rPr>
          <w:rFonts w:cstheme="minorHAnsi"/>
          <w:i/>
          <w:color w:val="000000"/>
        </w:rPr>
        <w:t xml:space="preserve"> Stories: The Narrative Structure of</w:t>
      </w:r>
      <w:r w:rsidRPr="00FF4611">
        <w:rPr>
          <w:rFonts w:cstheme="minorHAnsi"/>
          <w:i/>
          <w:color w:val="000000"/>
          <w:lang w:val="en-US"/>
        </w:rPr>
        <w:t xml:space="preserve"> </w:t>
      </w:r>
      <w:r w:rsidRPr="00FF4611">
        <w:rPr>
          <w:rFonts w:cstheme="minorHAnsi"/>
          <w:i/>
          <w:color w:val="000000"/>
        </w:rPr>
        <w:t>Medical Knowledge</w:t>
      </w:r>
      <w:r w:rsidRPr="00FF4611">
        <w:rPr>
          <w:rFonts w:cstheme="minorHAnsi"/>
          <w:color w:val="000000"/>
          <w:lang w:val="en-US"/>
        </w:rPr>
        <w:t>.</w:t>
      </w:r>
      <w:r>
        <w:rPr>
          <w:rFonts w:cstheme="minorHAnsi"/>
          <w:color w:val="000000"/>
        </w:rPr>
        <w:t xml:space="preserve"> Princeton</w:t>
      </w:r>
      <w:r>
        <w:rPr>
          <w:rFonts w:cstheme="minorHAnsi"/>
          <w:color w:val="000000"/>
          <w:lang w:val="en-US"/>
        </w:rPr>
        <w:t>,</w:t>
      </w:r>
      <w:r w:rsidRPr="00FF4611">
        <w:rPr>
          <w:rFonts w:cstheme="minorHAnsi"/>
          <w:color w:val="000000"/>
        </w:rPr>
        <w:t xml:space="preserve"> N</w:t>
      </w:r>
      <w:r w:rsidRPr="00FF4611">
        <w:rPr>
          <w:rFonts w:cstheme="minorHAnsi"/>
          <w:color w:val="000000"/>
          <w:lang w:val="en-US"/>
        </w:rPr>
        <w:t>J:</w:t>
      </w:r>
      <w:r w:rsidRPr="00FF4611">
        <w:rPr>
          <w:rFonts w:cstheme="minorHAnsi"/>
          <w:color w:val="000000"/>
        </w:rPr>
        <w:t xml:space="preserve"> Princeton University Press</w:t>
      </w:r>
      <w:r w:rsidRPr="00FF4611">
        <w:rPr>
          <w:rFonts w:cstheme="minorHAnsi"/>
          <w:color w:val="000000"/>
          <w:lang w:val="en-US"/>
        </w:rPr>
        <w:t>.</w:t>
      </w:r>
    </w:p>
    <w:p w:rsidR="00A04593" w:rsidRDefault="00A04593" w:rsidP="007B04A7">
      <w:pPr>
        <w:jc w:val="both"/>
        <w:rPr>
          <w:rFonts w:eastAsia="Calibri" w:cstheme="minorHAnsi"/>
          <w:color w:val="242021"/>
          <w:lang w:val="en-US"/>
        </w:rPr>
      </w:pPr>
      <w:r w:rsidRPr="00FF4611">
        <w:rPr>
          <w:rFonts w:eastAsia="Calibri" w:cstheme="minorHAnsi"/>
          <w:color w:val="242021"/>
        </w:rPr>
        <w:t>Kidd, Ian</w:t>
      </w:r>
      <w:r w:rsidRPr="00FF4611">
        <w:rPr>
          <w:rFonts w:eastAsia="Calibri" w:cstheme="minorHAnsi"/>
          <w:color w:val="242021"/>
          <w:lang w:val="en-US"/>
        </w:rPr>
        <w:t xml:space="preserve">, </w:t>
      </w:r>
      <w:r w:rsidRPr="00FF4611">
        <w:rPr>
          <w:rFonts w:eastAsia="Calibri" w:cstheme="minorHAnsi"/>
          <w:color w:val="242021"/>
        </w:rPr>
        <w:t>Medina, Jos</w:t>
      </w:r>
      <w:r w:rsidRPr="00FF4611">
        <w:rPr>
          <w:rFonts w:eastAsia="Calibri" w:cstheme="minorHAnsi"/>
          <w:iCs/>
          <w:color w:val="242021"/>
        </w:rPr>
        <w:t>é</w:t>
      </w:r>
      <w:r w:rsidRPr="00FF4611">
        <w:rPr>
          <w:rFonts w:eastAsia="Calibri" w:cstheme="minorHAnsi"/>
          <w:color w:val="242021"/>
        </w:rPr>
        <w:t xml:space="preserve"> and Gaile Pohlhaus</w:t>
      </w:r>
      <w:r>
        <w:rPr>
          <w:rFonts w:eastAsia="Calibri" w:cstheme="minorHAnsi"/>
          <w:color w:val="242021"/>
          <w:lang w:val="en-US"/>
        </w:rPr>
        <w:t>, e</w:t>
      </w:r>
      <w:r w:rsidRPr="00FF4611">
        <w:rPr>
          <w:rFonts w:eastAsia="Calibri" w:cstheme="minorHAnsi"/>
          <w:color w:val="242021"/>
          <w:lang w:val="en-US"/>
        </w:rPr>
        <w:t>ds.</w:t>
      </w:r>
      <w:r w:rsidRPr="00FF4611">
        <w:rPr>
          <w:rFonts w:eastAsia="Calibri" w:cstheme="minorHAnsi"/>
          <w:iCs/>
          <w:color w:val="242021"/>
          <w:lang w:val="en-US"/>
        </w:rPr>
        <w:t xml:space="preserve"> 2017. </w:t>
      </w:r>
      <w:r w:rsidRPr="00FF4611">
        <w:rPr>
          <w:rFonts w:eastAsia="Calibri" w:cstheme="minorHAnsi"/>
          <w:i/>
          <w:iCs/>
          <w:color w:val="242021"/>
        </w:rPr>
        <w:t>Routledge Handbook of Epistemic Injustice</w:t>
      </w:r>
      <w:r w:rsidRPr="00FF4611">
        <w:rPr>
          <w:rFonts w:eastAsia="Calibri" w:cstheme="minorHAnsi"/>
          <w:color w:val="242021"/>
        </w:rPr>
        <w:t>. New York</w:t>
      </w:r>
      <w:r w:rsidRPr="00FF4611">
        <w:rPr>
          <w:rFonts w:eastAsia="Calibri" w:cstheme="minorHAnsi"/>
          <w:color w:val="242021"/>
          <w:lang w:val="en-US"/>
        </w:rPr>
        <w:t>:</w:t>
      </w:r>
      <w:r w:rsidRPr="00FF4611">
        <w:rPr>
          <w:rFonts w:eastAsia="Calibri" w:cstheme="minorHAnsi"/>
          <w:color w:val="242021"/>
        </w:rPr>
        <w:t xml:space="preserve"> Routledge.</w:t>
      </w:r>
    </w:p>
    <w:p w:rsidR="00A04593" w:rsidRPr="00FF4611" w:rsidRDefault="00A04593" w:rsidP="00FF4611">
      <w:pPr>
        <w:jc w:val="both"/>
        <w:rPr>
          <w:rFonts w:cstheme="minorHAnsi"/>
          <w:lang w:val="en-US"/>
        </w:rPr>
      </w:pPr>
      <w:r w:rsidRPr="00FF4611">
        <w:rPr>
          <w:rFonts w:cstheme="minorHAnsi"/>
          <w:lang w:val="en-US"/>
        </w:rPr>
        <w:t xml:space="preserve">Kokoshkarova, Ana. 1984. </w:t>
      </w:r>
      <w:r w:rsidRPr="00FF4611">
        <w:rPr>
          <w:rFonts w:cstheme="minorHAnsi"/>
          <w:i/>
          <w:lang w:val="en-US"/>
        </w:rPr>
        <w:t>Psihologichno izsledvane na lichnostta v klinichnata praktika</w:t>
      </w:r>
      <w:r>
        <w:rPr>
          <w:rFonts w:cstheme="minorHAnsi"/>
          <w:lang w:val="en-US"/>
        </w:rPr>
        <w:t xml:space="preserve"> [</w:t>
      </w:r>
      <w:r w:rsidRPr="00FF4611">
        <w:rPr>
          <w:rFonts w:cstheme="minorHAnsi"/>
          <w:lang w:val="en-US"/>
        </w:rPr>
        <w:t>Psychological Study of Personality</w:t>
      </w:r>
      <w:r>
        <w:rPr>
          <w:rFonts w:cstheme="minorHAnsi"/>
          <w:lang w:val="en-US"/>
        </w:rPr>
        <w:t xml:space="preserve"> in Clinical Practice]</w:t>
      </w:r>
      <w:r w:rsidRPr="00FF4611">
        <w:rPr>
          <w:rFonts w:cstheme="minorHAnsi"/>
          <w:lang w:val="en-US"/>
        </w:rPr>
        <w:t>. Sofia: Medicina i Fizkultura.</w:t>
      </w:r>
    </w:p>
    <w:p w:rsidR="00A04593" w:rsidRPr="00FF4611" w:rsidRDefault="00A04593" w:rsidP="00E5563D">
      <w:pPr>
        <w:pStyle w:val="Body"/>
        <w:jc w:val="both"/>
        <w:rPr>
          <w:rFonts w:asciiTheme="minorHAnsi" w:hAnsiTheme="minorHAnsi" w:cstheme="minorHAnsi"/>
          <w:color w:val="0F1111"/>
        </w:rPr>
      </w:pPr>
      <w:r w:rsidRPr="00FF4611">
        <w:rPr>
          <w:rFonts w:asciiTheme="minorHAnsi" w:hAnsiTheme="minorHAnsi" w:cstheme="minorHAnsi"/>
        </w:rPr>
        <w:lastRenderedPageBreak/>
        <w:t xml:space="preserve">Krippendorf, Klaus H. 2003. </w:t>
      </w:r>
      <w:r w:rsidRPr="00FF4611">
        <w:rPr>
          <w:rFonts w:asciiTheme="minorHAnsi" w:hAnsiTheme="minorHAnsi" w:cstheme="minorHAnsi"/>
          <w:i/>
          <w:color w:val="0F1111"/>
        </w:rPr>
        <w:t>Content Analysis: An Introduction to Its Methodology</w:t>
      </w:r>
      <w:r w:rsidRPr="00FF4611">
        <w:rPr>
          <w:rFonts w:asciiTheme="minorHAnsi" w:hAnsiTheme="minorHAnsi" w:cstheme="minorHAnsi"/>
          <w:color w:val="0F1111"/>
        </w:rPr>
        <w:t>. London: Sage Publications.</w:t>
      </w:r>
    </w:p>
    <w:p w:rsidR="00A04593" w:rsidRPr="00D1069E" w:rsidRDefault="00A04593" w:rsidP="00FF4611">
      <w:pPr>
        <w:jc w:val="both"/>
        <w:rPr>
          <w:rFonts w:cstheme="minorHAnsi"/>
          <w:lang w:val="en-US"/>
        </w:rPr>
      </w:pPr>
      <w:r w:rsidRPr="00FF4611">
        <w:rPr>
          <w:rFonts w:cstheme="minorHAnsi"/>
        </w:rPr>
        <w:t>Markov</w:t>
      </w:r>
      <w:r>
        <w:rPr>
          <w:rFonts w:cstheme="minorHAnsi"/>
          <w:lang w:val="en-US"/>
        </w:rPr>
        <w:t>, Emil.</w:t>
      </w:r>
      <w:r>
        <w:rPr>
          <w:rFonts w:cstheme="minorHAnsi"/>
        </w:rPr>
        <w:t xml:space="preserve"> 1994</w:t>
      </w:r>
      <w:r>
        <w:rPr>
          <w:rFonts w:cstheme="minorHAnsi"/>
          <w:lang w:val="en-US"/>
        </w:rPr>
        <w:t>.</w:t>
      </w:r>
      <w:r w:rsidRPr="00FF4611">
        <w:rPr>
          <w:rFonts w:cstheme="minorHAnsi"/>
        </w:rPr>
        <w:t xml:space="preserve"> </w:t>
      </w:r>
      <w:r>
        <w:rPr>
          <w:rFonts w:cstheme="minorHAnsi"/>
          <w:lang w:val="en-US"/>
        </w:rPr>
        <w:t>“Asociaciya za podkrepa i zakrila na lica s psichichni problem</w:t>
      </w:r>
      <w:r w:rsidR="00901CEE">
        <w:rPr>
          <w:rFonts w:cstheme="minorHAnsi"/>
          <w:lang w:val="en-US"/>
        </w:rPr>
        <w:t>i – moshten psiho</w:t>
      </w:r>
      <w:r>
        <w:rPr>
          <w:rFonts w:cstheme="minorHAnsi"/>
          <w:lang w:val="en-US"/>
        </w:rPr>
        <w:t>profilaktichen, psihoterapevtichen i resocializirasht faktor” [</w:t>
      </w:r>
      <w:r w:rsidRPr="00FF4611">
        <w:rPr>
          <w:rFonts w:cstheme="minorHAnsi"/>
        </w:rPr>
        <w:t>Association for support and protection of persons with mental problems - a powerful psychoprophylactic, psychotherapeutic and resocialising factor</w:t>
      </w:r>
      <w:r>
        <w:rPr>
          <w:rFonts w:cstheme="minorHAnsi"/>
          <w:lang w:val="en-US"/>
        </w:rPr>
        <w:t>].</w:t>
      </w:r>
      <w:r w:rsidRPr="00FF4611">
        <w:rPr>
          <w:rFonts w:cstheme="minorHAnsi"/>
        </w:rPr>
        <w:t xml:space="preserve"> </w:t>
      </w:r>
      <w:r w:rsidRPr="00E90637">
        <w:rPr>
          <w:rFonts w:cstheme="minorHAnsi"/>
          <w:i/>
          <w:lang w:val="en-US"/>
        </w:rPr>
        <w:t>Buyletin of BPA</w:t>
      </w:r>
      <w:r>
        <w:rPr>
          <w:rFonts w:cstheme="minorHAnsi"/>
          <w:lang w:val="en-US"/>
        </w:rPr>
        <w:t xml:space="preserve">, </w:t>
      </w:r>
      <w:r w:rsidRPr="00FF4611">
        <w:rPr>
          <w:rFonts w:cstheme="minorHAnsi"/>
        </w:rPr>
        <w:t>3</w:t>
      </w:r>
      <w:r>
        <w:rPr>
          <w:rFonts w:cstheme="minorHAnsi"/>
          <w:lang w:val="en-US"/>
        </w:rPr>
        <w:t xml:space="preserve">: 21–4. </w:t>
      </w:r>
    </w:p>
    <w:p w:rsidR="00A04593" w:rsidRPr="00FF4611" w:rsidRDefault="00A04593" w:rsidP="00E5563D">
      <w:pPr>
        <w:jc w:val="both"/>
        <w:rPr>
          <w:rFonts w:cstheme="minorHAnsi"/>
          <w:lang w:val="en-US"/>
        </w:rPr>
      </w:pPr>
      <w:r w:rsidRPr="00FF4611">
        <w:rPr>
          <w:rFonts w:cstheme="minorHAnsi"/>
          <w:lang w:val="en-US"/>
        </w:rPr>
        <w:t xml:space="preserve">Mau, Mina. 2019. </w:t>
      </w:r>
      <w:r w:rsidR="00901CEE">
        <w:rPr>
          <w:rFonts w:cstheme="minorHAnsi"/>
          <w:i/>
          <w:lang w:val="en-US"/>
        </w:rPr>
        <w:t>Edna chetva</w:t>
      </w:r>
      <w:r w:rsidRPr="00FF4611">
        <w:rPr>
          <w:rFonts w:cstheme="minorHAnsi"/>
          <w:i/>
          <w:lang w:val="en-US"/>
        </w:rPr>
        <w:t>rt</w:t>
      </w:r>
      <w:r w:rsidRPr="00FF4611">
        <w:rPr>
          <w:rFonts w:cstheme="minorHAnsi"/>
          <w:lang w:val="en-US"/>
        </w:rPr>
        <w:t xml:space="preserve"> [One Quarter]. Sofia: Lexicon.</w:t>
      </w:r>
    </w:p>
    <w:p w:rsidR="00A04593" w:rsidRPr="00FF4611" w:rsidRDefault="00A04593" w:rsidP="00FF4611">
      <w:pPr>
        <w:jc w:val="both"/>
        <w:rPr>
          <w:rFonts w:cstheme="minorHAnsi"/>
          <w:lang w:val="en-US"/>
        </w:rPr>
      </w:pPr>
      <w:r w:rsidRPr="00FF4611">
        <w:rPr>
          <w:rFonts w:cstheme="minorHAnsi"/>
          <w:lang w:val="en-US"/>
        </w:rPr>
        <w:t xml:space="preserve">Milenkov, Kiril, and Hristo Popov. 1983. </w:t>
      </w:r>
      <w:r>
        <w:rPr>
          <w:rFonts w:cstheme="minorHAnsi"/>
          <w:i/>
          <w:lang w:val="en-US"/>
        </w:rPr>
        <w:t>Osnovolopozhnici na balgarskata psihiatriy</w:t>
      </w:r>
      <w:r w:rsidRPr="00FF4611">
        <w:rPr>
          <w:rFonts w:cstheme="minorHAnsi"/>
          <w:i/>
          <w:lang w:val="en-US"/>
        </w:rPr>
        <w:t>a</w:t>
      </w:r>
      <w:r>
        <w:rPr>
          <w:rFonts w:cstheme="minorHAnsi"/>
          <w:lang w:val="en-US"/>
        </w:rPr>
        <w:t xml:space="preserve"> [</w:t>
      </w:r>
      <w:r w:rsidRPr="00FF4611">
        <w:rPr>
          <w:rFonts w:cstheme="minorHAnsi"/>
          <w:lang w:val="en-US"/>
        </w:rPr>
        <w:t>Founding Fathers of B</w:t>
      </w:r>
      <w:r>
        <w:rPr>
          <w:rFonts w:cstheme="minorHAnsi"/>
          <w:lang w:val="en-US"/>
        </w:rPr>
        <w:t>ulgarian Psychiatry]</w:t>
      </w:r>
      <w:r w:rsidRPr="00FF4611">
        <w:rPr>
          <w:rFonts w:cstheme="minorHAnsi"/>
          <w:lang w:val="en-US"/>
        </w:rPr>
        <w:t>. Sofia: Medicina i Fizkultura.</w:t>
      </w:r>
    </w:p>
    <w:p w:rsidR="00A04593" w:rsidRPr="00FF4611" w:rsidRDefault="00A04593" w:rsidP="00FF4611">
      <w:pPr>
        <w:spacing w:line="240" w:lineRule="auto"/>
        <w:jc w:val="both"/>
        <w:rPr>
          <w:rFonts w:eastAsia="Calibri" w:cstheme="minorHAnsi"/>
          <w:color w:val="000000"/>
        </w:rPr>
      </w:pPr>
      <w:r w:rsidRPr="00FF4611">
        <w:rPr>
          <w:rFonts w:eastAsia="Calibri" w:cstheme="minorHAnsi"/>
          <w:color w:val="000000"/>
          <w:lang w:val="en-US"/>
        </w:rPr>
        <w:t>Milev, V</w:t>
      </w:r>
      <w:r>
        <w:rPr>
          <w:rFonts w:eastAsia="Calibri" w:cstheme="minorHAnsi"/>
          <w:color w:val="000000"/>
          <w:lang w:val="en-US"/>
        </w:rPr>
        <w:t xml:space="preserve">asil. </w:t>
      </w:r>
      <w:r w:rsidRPr="00FF4611">
        <w:rPr>
          <w:rFonts w:eastAsia="Calibri" w:cstheme="minorHAnsi"/>
          <w:color w:val="000000"/>
        </w:rPr>
        <w:t>1972</w:t>
      </w:r>
      <w:r>
        <w:rPr>
          <w:rFonts w:eastAsia="Calibri" w:cstheme="minorHAnsi"/>
          <w:color w:val="000000"/>
          <w:lang w:val="en-US"/>
        </w:rPr>
        <w:t>.</w:t>
      </w:r>
      <w:r w:rsidRPr="00FF4611">
        <w:rPr>
          <w:rFonts w:eastAsia="Calibri" w:cstheme="minorHAnsi"/>
          <w:color w:val="000000"/>
        </w:rPr>
        <w:t xml:space="preserve"> </w:t>
      </w:r>
      <w:r>
        <w:rPr>
          <w:rFonts w:eastAsia="Calibri" w:cstheme="minorHAnsi"/>
          <w:color w:val="000000"/>
        </w:rPr>
        <w:t>„</w:t>
      </w:r>
      <w:r w:rsidRPr="00FF4611">
        <w:rPr>
          <w:rFonts w:eastAsia="Calibri" w:cstheme="minorHAnsi"/>
          <w:color w:val="000000"/>
          <w:lang w:val="en-US"/>
        </w:rPr>
        <w:t>Kontseptsiya za razvitieto na izvanbolnichnata psihiatrichna pomosht v Balgariya</w:t>
      </w:r>
      <w:r>
        <w:rPr>
          <w:rFonts w:eastAsia="Calibri" w:cstheme="minorHAnsi"/>
          <w:color w:val="000000"/>
        </w:rPr>
        <w:t>”</w:t>
      </w:r>
      <w:r w:rsidRPr="00FF4611">
        <w:rPr>
          <w:rFonts w:eastAsia="Calibri" w:cstheme="minorHAnsi"/>
          <w:color w:val="000000"/>
          <w:lang w:val="en-US"/>
        </w:rPr>
        <w:t xml:space="preserve"> [Concept for the development of outpatient psychiatric care in Bulgaria]. </w:t>
      </w:r>
      <w:r w:rsidRPr="00FF4611">
        <w:rPr>
          <w:rFonts w:eastAsia="Calibri" w:cstheme="minorHAnsi"/>
          <w:i/>
          <w:color w:val="000000"/>
          <w:lang w:val="en-US"/>
        </w:rPr>
        <w:t>Byuletin na NINPN</w:t>
      </w:r>
      <w:r w:rsidRPr="00FF4611">
        <w:rPr>
          <w:rFonts w:eastAsia="Calibri" w:cstheme="minorHAnsi"/>
          <w:color w:val="000000"/>
          <w:lang w:val="en-US"/>
        </w:rPr>
        <w:t xml:space="preserve">, </w:t>
      </w:r>
      <w:r w:rsidRPr="00FF4611">
        <w:rPr>
          <w:rFonts w:eastAsia="Calibri" w:cstheme="minorHAnsi"/>
          <w:color w:val="000000"/>
        </w:rPr>
        <w:t>2</w:t>
      </w:r>
      <w:r>
        <w:rPr>
          <w:rFonts w:eastAsia="Calibri" w:cstheme="minorHAnsi"/>
          <w:color w:val="000000"/>
          <w:lang w:val="en-US"/>
        </w:rPr>
        <w:t>:</w:t>
      </w:r>
      <w:r w:rsidRPr="00FF4611">
        <w:rPr>
          <w:rFonts w:eastAsia="Calibri" w:cstheme="minorHAnsi"/>
          <w:color w:val="000000"/>
        </w:rPr>
        <w:t>10</w:t>
      </w:r>
      <w:r w:rsidRPr="00FF4611">
        <w:rPr>
          <w:rFonts w:eastAsia="Calibri" w:cstheme="minorHAnsi"/>
          <w:color w:val="000000"/>
          <w:lang w:val="en-US"/>
        </w:rPr>
        <w:t>-</w:t>
      </w:r>
      <w:r w:rsidRPr="00FF4611">
        <w:rPr>
          <w:rFonts w:eastAsia="Calibri" w:cstheme="minorHAnsi"/>
          <w:color w:val="000000"/>
        </w:rPr>
        <w:t>15.</w:t>
      </w:r>
    </w:p>
    <w:p w:rsidR="00A04593" w:rsidRDefault="00A04593" w:rsidP="00FF4611">
      <w:pPr>
        <w:spacing w:line="240" w:lineRule="auto"/>
        <w:jc w:val="both"/>
        <w:rPr>
          <w:rFonts w:eastAsia="Calibri" w:cstheme="minorHAnsi"/>
          <w:color w:val="000000"/>
          <w:lang w:val="en-US"/>
        </w:rPr>
      </w:pPr>
      <w:r w:rsidRPr="00FF4611">
        <w:rPr>
          <w:rFonts w:eastAsia="Calibri" w:cstheme="minorHAnsi"/>
          <w:color w:val="000000"/>
          <w:lang w:val="en-US"/>
        </w:rPr>
        <w:t>Ministry of Public Health</w:t>
      </w:r>
      <w:r>
        <w:rPr>
          <w:rFonts w:eastAsia="Calibri" w:cstheme="minorHAnsi"/>
          <w:color w:val="000000"/>
          <w:lang w:val="en-US"/>
        </w:rPr>
        <w:t>. 1973.</w:t>
      </w:r>
      <w:r w:rsidRPr="00FF4611">
        <w:rPr>
          <w:rFonts w:eastAsia="Calibri" w:cstheme="minorHAnsi"/>
          <w:color w:val="000000"/>
          <w:lang w:val="en-US"/>
        </w:rPr>
        <w:t xml:space="preserve"> </w:t>
      </w:r>
      <w:r w:rsidRPr="00FF4611">
        <w:rPr>
          <w:rFonts w:eastAsia="Calibri" w:cstheme="minorHAnsi"/>
          <w:i/>
          <w:color w:val="000000"/>
          <w:lang w:val="en-US"/>
        </w:rPr>
        <w:t>Nasoki za razvitieto na spetsializiranata psihiatrichna i nevrologichna pomosht do 1990</w:t>
      </w:r>
      <w:r w:rsidRPr="00FF4611">
        <w:rPr>
          <w:rFonts w:eastAsia="Calibri" w:cstheme="minorHAnsi"/>
          <w:color w:val="000000"/>
          <w:lang w:val="en-US"/>
        </w:rPr>
        <w:t xml:space="preserve"> </w:t>
      </w:r>
      <w:r w:rsidRPr="00FF4611">
        <w:rPr>
          <w:rFonts w:eastAsia="Calibri" w:cstheme="minorHAnsi"/>
          <w:i/>
          <w:color w:val="000000"/>
          <w:lang w:val="en-US"/>
        </w:rPr>
        <w:t>g.</w:t>
      </w:r>
      <w:r w:rsidRPr="00FF4611">
        <w:rPr>
          <w:rFonts w:eastAsia="Calibri" w:cstheme="minorHAnsi"/>
          <w:color w:val="000000"/>
          <w:lang w:val="en-US"/>
        </w:rPr>
        <w:t xml:space="preserve"> [Guidelines for the Development of Specialized Psychiatric and Neurological Care until 1990]</w:t>
      </w:r>
      <w:r w:rsidRPr="00FF4611">
        <w:rPr>
          <w:rFonts w:eastAsia="Calibri" w:cstheme="minorHAnsi"/>
          <w:color w:val="000000"/>
        </w:rPr>
        <w:t>.</w:t>
      </w:r>
    </w:p>
    <w:p w:rsidR="00A04593" w:rsidRPr="00FF4611" w:rsidRDefault="00A04593" w:rsidP="00FF4611">
      <w:pPr>
        <w:jc w:val="both"/>
        <w:rPr>
          <w:rFonts w:cstheme="minorHAnsi"/>
          <w:lang w:val="en-US"/>
        </w:rPr>
      </w:pPr>
      <w:r w:rsidRPr="00FF4611">
        <w:rPr>
          <w:rFonts w:eastAsia="Calibri" w:cstheme="minorHAnsi"/>
          <w:color w:val="000000"/>
          <w:lang w:val="en-US"/>
        </w:rPr>
        <w:t>Ministry of Public Health</w:t>
      </w:r>
      <w:r>
        <w:rPr>
          <w:rFonts w:eastAsia="Calibri" w:cstheme="minorHAnsi"/>
          <w:color w:val="000000"/>
          <w:lang w:val="en-US"/>
        </w:rPr>
        <w:t>. 1976.</w:t>
      </w:r>
      <w:r w:rsidRPr="00FF4611">
        <w:rPr>
          <w:rFonts w:eastAsia="Calibri" w:cstheme="minorHAnsi"/>
          <w:color w:val="000000"/>
        </w:rPr>
        <w:t xml:space="preserve"> </w:t>
      </w:r>
      <w:r w:rsidRPr="00FF4611">
        <w:rPr>
          <w:rFonts w:eastAsia="Calibri" w:cstheme="minorHAnsi"/>
          <w:i/>
          <w:color w:val="000000"/>
          <w:lang w:val="en-US"/>
        </w:rPr>
        <w:t>Programa za opazvane i podobryavane na psihichnoto zd</w:t>
      </w:r>
      <w:r>
        <w:rPr>
          <w:rFonts w:eastAsia="Calibri" w:cstheme="minorHAnsi"/>
          <w:i/>
          <w:color w:val="000000"/>
          <w:lang w:val="en-US"/>
        </w:rPr>
        <w:t>rave na balgarskiya narod 1976 g.</w:t>
      </w:r>
      <w:r w:rsidRPr="00FF4611">
        <w:rPr>
          <w:rFonts w:eastAsia="Calibri" w:cstheme="minorHAnsi"/>
          <w:color w:val="000000"/>
          <w:lang w:val="en-US"/>
        </w:rPr>
        <w:t xml:space="preserve"> [Programme for Protecting and Improving the Mental Health of the Bulgarian People 1976].</w:t>
      </w:r>
    </w:p>
    <w:p w:rsidR="00A04593" w:rsidRPr="00D1069E" w:rsidRDefault="00A04593" w:rsidP="00FF4611">
      <w:pPr>
        <w:jc w:val="both"/>
        <w:rPr>
          <w:rFonts w:cstheme="minorHAnsi"/>
          <w:lang w:val="en-US"/>
        </w:rPr>
      </w:pPr>
      <w:r>
        <w:rPr>
          <w:rFonts w:cstheme="minorHAnsi"/>
          <w:lang w:val="en-US"/>
        </w:rPr>
        <w:t>Onchev, Georgi. 1999. “Etnoculturalen context na psichiatriyata v Balgaria” [</w:t>
      </w:r>
      <w:r w:rsidRPr="00FF4611">
        <w:rPr>
          <w:rFonts w:cstheme="minorHAnsi"/>
          <w:lang w:val="en-US"/>
        </w:rPr>
        <w:t>Ethnocultural context of psychiatry in Bulgaria</w:t>
      </w:r>
      <w:r>
        <w:rPr>
          <w:rFonts w:cstheme="minorHAnsi"/>
          <w:lang w:val="en-US"/>
        </w:rPr>
        <w:t xml:space="preserve">]. </w:t>
      </w:r>
      <w:r w:rsidRPr="00E90637">
        <w:rPr>
          <w:rFonts w:cstheme="minorHAnsi"/>
          <w:i/>
          <w:lang w:val="en-US"/>
        </w:rPr>
        <w:t>Buyletin of BPA</w:t>
      </w:r>
      <w:r>
        <w:rPr>
          <w:rFonts w:cstheme="minorHAnsi"/>
          <w:lang w:val="en-US"/>
        </w:rPr>
        <w:t xml:space="preserve">, </w:t>
      </w:r>
      <w:r w:rsidRPr="00FF4611">
        <w:rPr>
          <w:rFonts w:cstheme="minorHAnsi"/>
          <w:lang w:val="en-US"/>
        </w:rPr>
        <w:t>2-3</w:t>
      </w:r>
      <w:r>
        <w:rPr>
          <w:rFonts w:cstheme="minorHAnsi"/>
          <w:lang w:val="en-US"/>
        </w:rPr>
        <w:t>:</w:t>
      </w:r>
      <w:r w:rsidRPr="00FF4611">
        <w:rPr>
          <w:rFonts w:cstheme="minorHAnsi"/>
          <w:lang w:val="en-US"/>
        </w:rPr>
        <w:t xml:space="preserve"> 14</w:t>
      </w:r>
      <w:r>
        <w:rPr>
          <w:rFonts w:cstheme="minorHAnsi"/>
          <w:lang w:val="en-US"/>
        </w:rPr>
        <w:t>–</w:t>
      </w:r>
      <w:r w:rsidRPr="00FF4611">
        <w:rPr>
          <w:rFonts w:cstheme="minorHAnsi"/>
          <w:lang w:val="en-US"/>
        </w:rPr>
        <w:t>21</w:t>
      </w:r>
      <w:r>
        <w:rPr>
          <w:rFonts w:cstheme="minorHAnsi"/>
          <w:lang w:val="en-US"/>
        </w:rPr>
        <w:t>.</w:t>
      </w:r>
    </w:p>
    <w:p w:rsidR="00A04593" w:rsidRPr="00FF4611" w:rsidRDefault="00A04593" w:rsidP="00FF4611">
      <w:pPr>
        <w:jc w:val="both"/>
        <w:rPr>
          <w:rFonts w:cstheme="minorHAnsi"/>
          <w:lang w:val="en-US"/>
        </w:rPr>
      </w:pPr>
      <w:r w:rsidRPr="00FF4611">
        <w:rPr>
          <w:rFonts w:cstheme="minorHAnsi"/>
          <w:lang w:val="en-US"/>
        </w:rPr>
        <w:t>Pantaleev, D</w:t>
      </w:r>
      <w:r>
        <w:rPr>
          <w:rFonts w:cstheme="minorHAnsi"/>
          <w:lang w:val="en-US"/>
        </w:rPr>
        <w:t>imitar,</w:t>
      </w:r>
      <w:r w:rsidRPr="00FF4611">
        <w:rPr>
          <w:rFonts w:cstheme="minorHAnsi"/>
          <w:lang w:val="en-US"/>
        </w:rPr>
        <w:t xml:space="preserve"> and I</w:t>
      </w:r>
      <w:r>
        <w:rPr>
          <w:rFonts w:cstheme="minorHAnsi"/>
          <w:lang w:val="en-US"/>
        </w:rPr>
        <w:t>gnat</w:t>
      </w:r>
      <w:r w:rsidRPr="00FF4611">
        <w:rPr>
          <w:rFonts w:cstheme="minorHAnsi"/>
          <w:lang w:val="en-US"/>
        </w:rPr>
        <w:t xml:space="preserve"> Ignev</w:t>
      </w:r>
      <w:r>
        <w:rPr>
          <w:rFonts w:cstheme="minorHAnsi"/>
          <w:lang w:val="en-US"/>
        </w:rPr>
        <w:t>. 1976.</w:t>
      </w:r>
      <w:r w:rsidRPr="00FF4611">
        <w:rPr>
          <w:rFonts w:cstheme="minorHAnsi"/>
          <w:lang w:val="en-US"/>
        </w:rPr>
        <w:t xml:space="preserve"> </w:t>
      </w:r>
      <w:r w:rsidRPr="00FF4611">
        <w:rPr>
          <w:rFonts w:cstheme="minorHAnsi"/>
          <w:i/>
          <w:lang w:val="en-US"/>
        </w:rPr>
        <w:t>Rehabilitaciya na psihichno bolni</w:t>
      </w:r>
      <w:r w:rsidRPr="00FF4611">
        <w:rPr>
          <w:rFonts w:cstheme="minorHAnsi"/>
          <w:lang w:val="en-US"/>
        </w:rPr>
        <w:t xml:space="preserve"> [Rehabilitation of the mentally ill]. Lovetch: Okruzhna psihonevrologichna bolnica.</w:t>
      </w:r>
    </w:p>
    <w:p w:rsidR="00A04593" w:rsidRPr="00FF4611" w:rsidRDefault="00A04593" w:rsidP="00FF4611">
      <w:pPr>
        <w:jc w:val="both"/>
        <w:rPr>
          <w:rFonts w:cstheme="minorHAnsi"/>
          <w:lang w:val="en-US"/>
        </w:rPr>
      </w:pPr>
      <w:r w:rsidRPr="00FF4611">
        <w:rPr>
          <w:rFonts w:cstheme="minorHAnsi"/>
          <w:lang w:val="en-US"/>
        </w:rPr>
        <w:t>Panteleev, Dimit</w:t>
      </w:r>
      <w:r>
        <w:rPr>
          <w:rFonts w:cstheme="minorHAnsi"/>
          <w:lang w:val="en-US"/>
        </w:rPr>
        <w:t>a</w:t>
      </w:r>
      <w:r w:rsidRPr="00FF4611">
        <w:rPr>
          <w:rFonts w:cstheme="minorHAnsi"/>
          <w:lang w:val="en-US"/>
        </w:rPr>
        <w:t xml:space="preserve">r. 1994. </w:t>
      </w:r>
      <w:r w:rsidR="00806358">
        <w:rPr>
          <w:rFonts w:cstheme="minorHAnsi"/>
          <w:i/>
          <w:lang w:val="en-US"/>
        </w:rPr>
        <w:t>Shizofreniy</w:t>
      </w:r>
      <w:r w:rsidRPr="00FF4611">
        <w:rPr>
          <w:rFonts w:cstheme="minorHAnsi"/>
          <w:i/>
          <w:lang w:val="en-US"/>
        </w:rPr>
        <w:t>a i literaturno tvorchestvo</w:t>
      </w:r>
      <w:r>
        <w:rPr>
          <w:rFonts w:cstheme="minorHAnsi"/>
          <w:lang w:val="en-US"/>
        </w:rPr>
        <w:t xml:space="preserve"> [</w:t>
      </w:r>
      <w:r w:rsidRPr="00FF4611">
        <w:rPr>
          <w:rFonts w:cstheme="minorHAnsi"/>
          <w:lang w:val="en-US"/>
        </w:rPr>
        <w:t>Schizo</w:t>
      </w:r>
      <w:r>
        <w:rPr>
          <w:rFonts w:cstheme="minorHAnsi"/>
          <w:lang w:val="en-US"/>
        </w:rPr>
        <w:t>phrenia and Literary Creativity]</w:t>
      </w:r>
      <w:r w:rsidRPr="00FF4611">
        <w:rPr>
          <w:rFonts w:cstheme="minorHAnsi"/>
          <w:lang w:val="en-US"/>
        </w:rPr>
        <w:t>. Sofia: Seva.</w:t>
      </w:r>
    </w:p>
    <w:p w:rsidR="00A04593" w:rsidRPr="00FF4611" w:rsidRDefault="00A04593" w:rsidP="00E5563D">
      <w:pPr>
        <w:pStyle w:val="Body"/>
        <w:jc w:val="both"/>
        <w:rPr>
          <w:rFonts w:asciiTheme="minorHAnsi" w:hAnsiTheme="minorHAnsi" w:cstheme="minorHAnsi"/>
          <w:bCs/>
          <w:color w:val="auto"/>
        </w:rPr>
      </w:pPr>
      <w:r w:rsidRPr="00FF4611">
        <w:rPr>
          <w:rFonts w:asciiTheme="minorHAnsi" w:hAnsiTheme="minorHAnsi" w:cstheme="minorHAnsi"/>
          <w:bCs/>
          <w:color w:val="auto"/>
        </w:rPr>
        <w:t xml:space="preserve">Pels, Dick. 2000. </w:t>
      </w:r>
      <w:r w:rsidRPr="00FF4611">
        <w:rPr>
          <w:rFonts w:asciiTheme="minorHAnsi" w:eastAsiaTheme="minorHAnsi" w:hAnsiTheme="minorHAnsi" w:cstheme="minorHAnsi"/>
          <w:i/>
          <w:color w:val="auto"/>
          <w:bdr w:val="none" w:sz="0" w:space="0" w:color="auto"/>
          <w:lang w:val="bg-BG" w:eastAsia="en-US"/>
        </w:rPr>
        <w:t>The intellectual as stranger: studies in spokespersonship</w:t>
      </w:r>
      <w:r w:rsidRPr="00FF4611">
        <w:rPr>
          <w:rFonts w:asciiTheme="minorHAnsi" w:eastAsiaTheme="minorHAnsi" w:hAnsiTheme="minorHAnsi" w:cstheme="minorHAnsi"/>
          <w:color w:val="auto"/>
          <w:bdr w:val="none" w:sz="0" w:space="0" w:color="auto"/>
          <w:lang w:eastAsia="en-US"/>
        </w:rPr>
        <w:t>. London: Routledge.</w:t>
      </w:r>
    </w:p>
    <w:p w:rsidR="00A04593" w:rsidRPr="00195E0E" w:rsidRDefault="00A04593" w:rsidP="00195E0E">
      <w:pPr>
        <w:jc w:val="both"/>
        <w:rPr>
          <w:rFonts w:cstheme="minorHAnsi"/>
          <w:color w:val="242021"/>
          <w:lang w:val="en-US"/>
        </w:rPr>
      </w:pPr>
      <w:r w:rsidRPr="00195E0E">
        <w:rPr>
          <w:rFonts w:cstheme="minorHAnsi"/>
          <w:lang w:val="en-US"/>
        </w:rPr>
        <w:t>Penney, Darby, and Laura Prescott. 2016. “</w:t>
      </w:r>
      <w:r w:rsidRPr="00195E0E">
        <w:rPr>
          <w:rFonts w:cstheme="minorHAnsi"/>
          <w:color w:val="242021"/>
        </w:rPr>
        <w:t>T</w:t>
      </w:r>
      <w:r w:rsidRPr="00195E0E">
        <w:rPr>
          <w:rFonts w:cstheme="minorHAnsi"/>
          <w:color w:val="242021"/>
          <w:lang w:val="en-US"/>
        </w:rPr>
        <w:t>h</w:t>
      </w:r>
      <w:r w:rsidRPr="00195E0E">
        <w:rPr>
          <w:rFonts w:cstheme="minorHAnsi"/>
          <w:color w:val="242021"/>
        </w:rPr>
        <w:t xml:space="preserve">e </w:t>
      </w:r>
      <w:r w:rsidRPr="00195E0E">
        <w:rPr>
          <w:rFonts w:cstheme="minorHAnsi"/>
          <w:color w:val="242021"/>
          <w:lang w:val="en-US"/>
        </w:rPr>
        <w:t>C</w:t>
      </w:r>
      <w:r w:rsidRPr="00195E0E">
        <w:rPr>
          <w:rFonts w:cstheme="minorHAnsi"/>
          <w:color w:val="242021"/>
        </w:rPr>
        <w:t xml:space="preserve">o-optation of </w:t>
      </w:r>
      <w:r w:rsidRPr="00195E0E">
        <w:rPr>
          <w:rFonts w:cstheme="minorHAnsi"/>
          <w:color w:val="242021"/>
          <w:lang w:val="en-US"/>
        </w:rPr>
        <w:t>S</w:t>
      </w:r>
      <w:r w:rsidRPr="00195E0E">
        <w:rPr>
          <w:rFonts w:cstheme="minorHAnsi"/>
          <w:color w:val="242021"/>
        </w:rPr>
        <w:t xml:space="preserve">urvivor </w:t>
      </w:r>
      <w:r w:rsidRPr="00195E0E">
        <w:rPr>
          <w:rFonts w:cstheme="minorHAnsi"/>
          <w:color w:val="242021"/>
          <w:lang w:val="en-US"/>
        </w:rPr>
        <w:t>K</w:t>
      </w:r>
      <w:r w:rsidRPr="00195E0E">
        <w:rPr>
          <w:rFonts w:cstheme="minorHAnsi"/>
          <w:color w:val="242021"/>
        </w:rPr>
        <w:t xml:space="preserve">nowledge: the </w:t>
      </w:r>
      <w:r w:rsidRPr="00195E0E">
        <w:rPr>
          <w:rFonts w:cstheme="minorHAnsi"/>
          <w:color w:val="242021"/>
          <w:lang w:val="en-US"/>
        </w:rPr>
        <w:t>D</w:t>
      </w:r>
      <w:r w:rsidRPr="00195E0E">
        <w:rPr>
          <w:rFonts w:cstheme="minorHAnsi"/>
          <w:color w:val="242021"/>
        </w:rPr>
        <w:t xml:space="preserve">anger of </w:t>
      </w:r>
      <w:r w:rsidRPr="00195E0E">
        <w:rPr>
          <w:rFonts w:cstheme="minorHAnsi"/>
          <w:color w:val="242021"/>
          <w:lang w:val="en-US"/>
        </w:rPr>
        <w:t>S</w:t>
      </w:r>
      <w:r w:rsidRPr="00195E0E">
        <w:rPr>
          <w:rFonts w:cstheme="minorHAnsi"/>
          <w:color w:val="242021"/>
        </w:rPr>
        <w:t>ubstituted</w:t>
      </w:r>
      <w:r w:rsidRPr="00195E0E">
        <w:rPr>
          <w:rFonts w:cstheme="minorHAnsi"/>
          <w:color w:val="242021"/>
          <w:lang w:val="en-US"/>
        </w:rPr>
        <w:t xml:space="preserve"> V</w:t>
      </w:r>
      <w:r w:rsidRPr="00195E0E">
        <w:rPr>
          <w:rFonts w:cstheme="minorHAnsi"/>
          <w:color w:val="242021"/>
        </w:rPr>
        <w:t xml:space="preserve">alues and </w:t>
      </w:r>
      <w:r w:rsidRPr="00195E0E">
        <w:rPr>
          <w:rFonts w:cstheme="minorHAnsi"/>
          <w:color w:val="242021"/>
          <w:lang w:val="en-US"/>
        </w:rPr>
        <w:t>V</w:t>
      </w:r>
      <w:r w:rsidRPr="00195E0E">
        <w:rPr>
          <w:rFonts w:cstheme="minorHAnsi"/>
          <w:color w:val="242021"/>
        </w:rPr>
        <w:t>oice</w:t>
      </w:r>
      <w:r w:rsidRPr="00195E0E">
        <w:rPr>
          <w:rFonts w:cstheme="minorHAnsi"/>
          <w:color w:val="242021"/>
          <w:lang w:val="en-US"/>
        </w:rPr>
        <w:t>.”</w:t>
      </w:r>
      <w:r>
        <w:rPr>
          <w:rFonts w:cstheme="minorHAnsi"/>
          <w:color w:val="242021"/>
          <w:lang w:val="en-US"/>
        </w:rPr>
        <w:t xml:space="preserve"> </w:t>
      </w:r>
      <w:r w:rsidRPr="00195E0E">
        <w:rPr>
          <w:rFonts w:cstheme="minorHAnsi"/>
          <w:color w:val="242021"/>
          <w:lang w:val="en-US"/>
        </w:rPr>
        <w:t xml:space="preserve">In </w:t>
      </w:r>
      <w:r w:rsidRPr="00195E0E">
        <w:rPr>
          <w:rFonts w:cstheme="minorHAnsi"/>
          <w:i/>
          <w:iCs/>
          <w:color w:val="242021"/>
          <w:lang w:val="en-US"/>
        </w:rPr>
        <w:t xml:space="preserve">Searching for a Rose Garden. Challenging Psychiatry, Forstering Mad Studies </w:t>
      </w:r>
      <w:r w:rsidRPr="00195E0E">
        <w:rPr>
          <w:rFonts w:cstheme="minorHAnsi"/>
          <w:iCs/>
          <w:color w:val="242021"/>
          <w:lang w:val="en-US"/>
        </w:rPr>
        <w:t>edited by</w:t>
      </w:r>
      <w:r w:rsidRPr="00195E0E">
        <w:rPr>
          <w:rFonts w:cstheme="minorHAnsi"/>
          <w:i/>
          <w:iCs/>
          <w:color w:val="242021"/>
          <w:lang w:val="en-US"/>
        </w:rPr>
        <w:t xml:space="preserve"> </w:t>
      </w:r>
      <w:r w:rsidRPr="00195E0E">
        <w:rPr>
          <w:rFonts w:cstheme="minorHAnsi"/>
          <w:iCs/>
          <w:color w:val="242021"/>
          <w:lang w:val="en-US"/>
        </w:rPr>
        <w:t xml:space="preserve">Jasna Russo and Angela Sweeney, 35-48. Monmouth: </w:t>
      </w:r>
      <w:r w:rsidRPr="00195E0E">
        <w:rPr>
          <w:rFonts w:cstheme="minorHAnsi"/>
          <w:color w:val="242021"/>
        </w:rPr>
        <w:t>PCCS Books Ltd</w:t>
      </w:r>
      <w:r w:rsidRPr="00195E0E">
        <w:rPr>
          <w:rFonts w:cstheme="minorHAnsi"/>
          <w:color w:val="242021"/>
          <w:lang w:val="en-US"/>
        </w:rPr>
        <w:t>.</w:t>
      </w:r>
    </w:p>
    <w:p w:rsidR="00A04593" w:rsidRPr="00FF4611" w:rsidRDefault="00A04593" w:rsidP="00E5563D">
      <w:pPr>
        <w:pStyle w:val="Body"/>
        <w:jc w:val="both"/>
        <w:rPr>
          <w:rFonts w:asciiTheme="minorHAnsi" w:eastAsiaTheme="minorHAnsi" w:hAnsiTheme="minorHAnsi" w:cstheme="minorHAnsi"/>
          <w:bdr w:val="none" w:sz="0" w:space="0" w:color="auto"/>
          <w:lang w:eastAsia="en-US"/>
        </w:rPr>
      </w:pPr>
      <w:r w:rsidRPr="00FF4611">
        <w:rPr>
          <w:rFonts w:asciiTheme="minorHAnsi" w:eastAsiaTheme="minorHAnsi" w:hAnsiTheme="minorHAnsi" w:cstheme="minorHAnsi"/>
          <w:color w:val="231F20"/>
          <w:bdr w:val="none" w:sz="0" w:space="0" w:color="auto"/>
          <w:lang w:eastAsia="en-US"/>
        </w:rPr>
        <w:t xml:space="preserve">Rashed, </w:t>
      </w:r>
      <w:r w:rsidRPr="00FF4611">
        <w:rPr>
          <w:rFonts w:asciiTheme="minorHAnsi" w:eastAsiaTheme="minorHAnsi" w:hAnsiTheme="minorHAnsi" w:cstheme="minorHAnsi"/>
          <w:color w:val="231F20"/>
          <w:bdr w:val="none" w:sz="0" w:space="0" w:color="auto"/>
          <w:lang w:val="bg-BG" w:eastAsia="en-US"/>
        </w:rPr>
        <w:t>Mohammed A</w:t>
      </w:r>
      <w:r w:rsidRPr="00FF4611">
        <w:rPr>
          <w:rFonts w:asciiTheme="minorHAnsi" w:eastAsiaTheme="minorHAnsi" w:hAnsiTheme="minorHAnsi" w:cstheme="minorHAnsi"/>
          <w:color w:val="231F20"/>
          <w:bdr w:val="none" w:sz="0" w:space="0" w:color="auto"/>
          <w:lang w:eastAsia="en-US"/>
        </w:rPr>
        <w:t xml:space="preserve">. 2016. </w:t>
      </w:r>
      <w:r w:rsidRPr="00FF4611">
        <w:rPr>
          <w:rFonts w:asciiTheme="minorHAnsi" w:eastAsiaTheme="minorHAnsi" w:hAnsiTheme="minorHAnsi" w:cstheme="minorHAnsi"/>
          <w:bCs/>
          <w:i/>
          <w:color w:val="231F20"/>
          <w:bdr w:val="none" w:sz="0" w:space="0" w:color="auto"/>
          <w:lang w:val="bg-BG" w:eastAsia="en-US"/>
        </w:rPr>
        <w:t>Madness and</w:t>
      </w:r>
      <w:r w:rsidRPr="00FF4611">
        <w:rPr>
          <w:rFonts w:asciiTheme="minorHAnsi" w:eastAsiaTheme="minorHAnsi" w:hAnsiTheme="minorHAnsi" w:cstheme="minorHAnsi"/>
          <w:bCs/>
          <w:i/>
          <w:color w:val="231F20"/>
          <w:bdr w:val="none" w:sz="0" w:space="0" w:color="auto"/>
          <w:lang w:eastAsia="en-US"/>
        </w:rPr>
        <w:t xml:space="preserve"> </w:t>
      </w:r>
      <w:r w:rsidRPr="00FF4611">
        <w:rPr>
          <w:rFonts w:asciiTheme="minorHAnsi" w:eastAsiaTheme="minorHAnsi" w:hAnsiTheme="minorHAnsi" w:cstheme="minorHAnsi"/>
          <w:bCs/>
          <w:i/>
          <w:color w:val="231F20"/>
          <w:bdr w:val="none" w:sz="0" w:space="0" w:color="auto"/>
          <w:lang w:val="bg-BG" w:eastAsia="en-US"/>
        </w:rPr>
        <w:t>the Demand</w:t>
      </w:r>
      <w:r w:rsidRPr="00FF4611">
        <w:rPr>
          <w:rFonts w:asciiTheme="minorHAnsi" w:eastAsiaTheme="minorHAnsi" w:hAnsiTheme="minorHAnsi" w:cstheme="minorHAnsi"/>
          <w:bCs/>
          <w:i/>
          <w:color w:val="231F20"/>
          <w:bdr w:val="none" w:sz="0" w:space="0" w:color="auto"/>
          <w:lang w:eastAsia="en-US"/>
        </w:rPr>
        <w:t xml:space="preserve"> </w:t>
      </w:r>
      <w:r w:rsidRPr="00FF4611">
        <w:rPr>
          <w:rFonts w:asciiTheme="minorHAnsi" w:eastAsiaTheme="minorHAnsi" w:hAnsiTheme="minorHAnsi" w:cstheme="minorHAnsi"/>
          <w:bCs/>
          <w:i/>
          <w:color w:val="231F20"/>
          <w:bdr w:val="none" w:sz="0" w:space="0" w:color="auto"/>
          <w:lang w:val="bg-BG" w:eastAsia="en-US"/>
        </w:rPr>
        <w:t>for Recognition</w:t>
      </w:r>
      <w:r w:rsidRPr="00FF4611">
        <w:rPr>
          <w:rFonts w:asciiTheme="minorHAnsi" w:eastAsiaTheme="minorHAnsi" w:hAnsiTheme="minorHAnsi" w:cstheme="minorHAnsi"/>
          <w:bCs/>
          <w:i/>
          <w:color w:val="231F20"/>
          <w:bdr w:val="none" w:sz="0" w:space="0" w:color="auto"/>
          <w:lang w:eastAsia="en-US"/>
        </w:rPr>
        <w:t xml:space="preserve"> </w:t>
      </w:r>
      <w:r w:rsidRPr="00FF4611">
        <w:rPr>
          <w:rFonts w:asciiTheme="minorHAnsi" w:eastAsiaTheme="minorHAnsi" w:hAnsiTheme="minorHAnsi" w:cstheme="minorHAnsi"/>
          <w:i/>
          <w:color w:val="231F20"/>
          <w:bdr w:val="none" w:sz="0" w:space="0" w:color="auto"/>
          <w:lang w:val="bg-BG" w:eastAsia="en-US"/>
        </w:rPr>
        <w:t>A philosophical inquiry</w:t>
      </w:r>
      <w:r w:rsidRPr="00FF4611">
        <w:rPr>
          <w:rFonts w:asciiTheme="minorHAnsi" w:eastAsiaTheme="minorHAnsi" w:hAnsiTheme="minorHAnsi" w:cstheme="minorHAnsi"/>
          <w:i/>
          <w:color w:val="231F20"/>
          <w:bdr w:val="none" w:sz="0" w:space="0" w:color="auto"/>
          <w:lang w:eastAsia="en-US"/>
        </w:rPr>
        <w:t xml:space="preserve"> </w:t>
      </w:r>
      <w:r w:rsidRPr="00FF4611">
        <w:rPr>
          <w:rFonts w:asciiTheme="minorHAnsi" w:eastAsiaTheme="minorHAnsi" w:hAnsiTheme="minorHAnsi" w:cstheme="minorHAnsi"/>
          <w:i/>
          <w:color w:val="231F20"/>
          <w:bdr w:val="none" w:sz="0" w:space="0" w:color="auto"/>
          <w:lang w:val="bg-BG" w:eastAsia="en-US"/>
        </w:rPr>
        <w:t>into identity and mental</w:t>
      </w:r>
      <w:r w:rsidRPr="00FF4611">
        <w:rPr>
          <w:rFonts w:asciiTheme="minorHAnsi" w:eastAsiaTheme="minorHAnsi" w:hAnsiTheme="minorHAnsi" w:cstheme="minorHAnsi"/>
          <w:i/>
          <w:color w:val="231F20"/>
          <w:bdr w:val="none" w:sz="0" w:space="0" w:color="auto"/>
          <w:lang w:eastAsia="en-US"/>
        </w:rPr>
        <w:t xml:space="preserve"> </w:t>
      </w:r>
      <w:r w:rsidRPr="00FF4611">
        <w:rPr>
          <w:rFonts w:asciiTheme="minorHAnsi" w:eastAsiaTheme="minorHAnsi" w:hAnsiTheme="minorHAnsi" w:cstheme="minorHAnsi"/>
          <w:i/>
          <w:color w:val="231F20"/>
          <w:bdr w:val="none" w:sz="0" w:space="0" w:color="auto"/>
          <w:lang w:val="bg-BG" w:eastAsia="en-US"/>
        </w:rPr>
        <w:t>health activism</w:t>
      </w:r>
      <w:r w:rsidRPr="00FF4611">
        <w:rPr>
          <w:rFonts w:asciiTheme="minorHAnsi" w:eastAsiaTheme="minorHAnsi" w:hAnsiTheme="minorHAnsi" w:cstheme="minorHAnsi"/>
          <w:color w:val="231F20"/>
          <w:bdr w:val="none" w:sz="0" w:space="0" w:color="auto"/>
          <w:lang w:eastAsia="en-US"/>
        </w:rPr>
        <w:t>. Oxford: Oxford University Press.</w:t>
      </w:r>
    </w:p>
    <w:p w:rsidR="00A04593" w:rsidRPr="00331FCD" w:rsidRDefault="00A04593" w:rsidP="00E5563D">
      <w:pPr>
        <w:pStyle w:val="Body"/>
        <w:jc w:val="both"/>
        <w:rPr>
          <w:rFonts w:asciiTheme="minorHAnsi" w:eastAsiaTheme="minorHAnsi" w:hAnsiTheme="minorHAnsi" w:cstheme="minorHAnsi"/>
          <w:color w:val="auto"/>
          <w:bdr w:val="none" w:sz="0" w:space="0" w:color="auto"/>
          <w:lang w:eastAsia="en-US"/>
        </w:rPr>
      </w:pPr>
      <w:r w:rsidRPr="00FF4611">
        <w:rPr>
          <w:rFonts w:asciiTheme="minorHAnsi" w:eastAsiaTheme="minorHAnsi" w:hAnsiTheme="minorHAnsi" w:cstheme="minorHAnsi"/>
          <w:bCs/>
          <w:color w:val="auto"/>
          <w:bdr w:val="none" w:sz="0" w:space="0" w:color="auto"/>
          <w:lang w:eastAsia="en-US"/>
        </w:rPr>
        <w:t>Renault, Emmanuel. 2002. “</w:t>
      </w:r>
      <w:r w:rsidRPr="00FF4611">
        <w:rPr>
          <w:rFonts w:asciiTheme="minorHAnsi" w:eastAsiaTheme="minorHAnsi" w:hAnsiTheme="minorHAnsi" w:cstheme="minorHAnsi"/>
          <w:bCs/>
          <w:color w:val="auto"/>
          <w:bdr w:val="none" w:sz="0" w:space="0" w:color="auto"/>
          <w:lang w:val="bg-BG" w:eastAsia="en-US"/>
        </w:rPr>
        <w:t>Critical Philosophy: A Spokesperson for Social Suffering?</w:t>
      </w:r>
      <w:r w:rsidRPr="00FF4611">
        <w:rPr>
          <w:rFonts w:asciiTheme="minorHAnsi" w:eastAsiaTheme="minorHAnsi" w:hAnsiTheme="minorHAnsi" w:cstheme="minorHAnsi"/>
          <w:bCs/>
          <w:color w:val="auto"/>
          <w:bdr w:val="none" w:sz="0" w:space="0" w:color="auto"/>
          <w:lang w:eastAsia="en-US"/>
        </w:rPr>
        <w:t>”</w:t>
      </w:r>
      <w:r w:rsidRPr="00FF4611">
        <w:rPr>
          <w:rFonts w:asciiTheme="minorHAnsi" w:eastAsiaTheme="minorHAnsi" w:hAnsiTheme="minorHAnsi" w:cstheme="minorHAnsi"/>
          <w:color w:val="auto"/>
          <w:bdr w:val="none" w:sz="0" w:space="0" w:color="auto"/>
          <w:lang w:val="bg-BG" w:eastAsia="en-US"/>
        </w:rPr>
        <w:t xml:space="preserve"> </w:t>
      </w:r>
      <w:r w:rsidRPr="00FF4611">
        <w:rPr>
          <w:rFonts w:asciiTheme="minorHAnsi" w:eastAsiaTheme="minorHAnsi" w:hAnsiTheme="minorHAnsi" w:cstheme="minorHAnsi"/>
          <w:bCs/>
          <w:color w:val="auto"/>
          <w:bdr w:val="none" w:sz="0" w:space="0" w:color="auto"/>
          <w:lang w:val="bg-BG" w:eastAsia="en-US"/>
        </w:rPr>
        <w:t xml:space="preserve">Mouvements </w:t>
      </w:r>
      <w:r w:rsidRPr="00331FCD">
        <w:rPr>
          <w:rFonts w:asciiTheme="minorHAnsi" w:eastAsiaTheme="minorHAnsi" w:hAnsiTheme="minorHAnsi" w:cstheme="minorHAnsi"/>
          <w:bCs/>
          <w:color w:val="auto"/>
          <w:bdr w:val="none" w:sz="0" w:space="0" w:color="auto"/>
          <w:lang w:val="bg-BG" w:eastAsia="en-US"/>
        </w:rPr>
        <w:t>24</w:t>
      </w:r>
      <w:r w:rsidRPr="00331FCD">
        <w:rPr>
          <w:rFonts w:asciiTheme="minorHAnsi" w:eastAsiaTheme="minorHAnsi" w:hAnsiTheme="minorHAnsi" w:cstheme="minorHAnsi"/>
          <w:bCs/>
          <w:color w:val="auto"/>
          <w:bdr w:val="none" w:sz="0" w:space="0" w:color="auto"/>
          <w:lang w:eastAsia="en-US"/>
        </w:rPr>
        <w:t xml:space="preserve"> (5):</w:t>
      </w:r>
      <w:r w:rsidRPr="00331FCD">
        <w:rPr>
          <w:rFonts w:asciiTheme="minorHAnsi" w:eastAsiaTheme="minorHAnsi" w:hAnsiTheme="minorHAnsi" w:cstheme="minorHAnsi"/>
          <w:color w:val="auto"/>
          <w:bdr w:val="none" w:sz="0" w:space="0" w:color="auto"/>
          <w:lang w:val="bg-BG" w:eastAsia="en-US"/>
        </w:rPr>
        <w:t>21</w:t>
      </w:r>
      <w:r w:rsidRPr="00331FCD">
        <w:rPr>
          <w:rFonts w:asciiTheme="minorHAnsi" w:eastAsiaTheme="minorHAnsi" w:hAnsiTheme="minorHAnsi" w:cstheme="minorHAnsi"/>
          <w:color w:val="auto"/>
          <w:bdr w:val="none" w:sz="0" w:space="0" w:color="auto"/>
          <w:lang w:eastAsia="en-US"/>
        </w:rPr>
        <w:t>–</w:t>
      </w:r>
      <w:r w:rsidRPr="00331FCD">
        <w:rPr>
          <w:rFonts w:asciiTheme="minorHAnsi" w:eastAsiaTheme="minorHAnsi" w:hAnsiTheme="minorHAnsi" w:cstheme="minorHAnsi"/>
          <w:color w:val="auto"/>
          <w:bdr w:val="none" w:sz="0" w:space="0" w:color="auto"/>
          <w:lang w:val="bg-BG" w:eastAsia="en-US"/>
        </w:rPr>
        <w:t>32</w:t>
      </w:r>
      <w:r w:rsidRPr="00331FCD">
        <w:rPr>
          <w:rFonts w:asciiTheme="minorHAnsi" w:eastAsiaTheme="minorHAnsi" w:hAnsiTheme="minorHAnsi" w:cstheme="minorHAnsi"/>
          <w:color w:val="auto"/>
          <w:bdr w:val="none" w:sz="0" w:space="0" w:color="auto"/>
          <w:lang w:eastAsia="en-US"/>
        </w:rPr>
        <w:t xml:space="preserve">. doi: </w:t>
      </w:r>
      <w:hyperlink r:id="rId14" w:anchor="xd_co_f=ZDZiMDhlZGUtODNmYS00YTc4LWE2OTgtOGIxYmUxMjA2OTNk~" w:history="1">
        <w:r w:rsidRPr="00331FCD">
          <w:rPr>
            <w:rStyle w:val="Hyperlink"/>
            <w:rFonts w:asciiTheme="minorHAnsi" w:hAnsiTheme="minorHAnsi" w:cstheme="minorHAnsi"/>
            <w:color w:val="auto"/>
            <w:u w:val="none"/>
            <w:shd w:val="clear" w:color="auto" w:fill="FAFAFA"/>
          </w:rPr>
          <w:t>10.3917/mouv.024.0021</w:t>
        </w:r>
      </w:hyperlink>
      <w:r w:rsidRPr="00331FCD">
        <w:rPr>
          <w:rFonts w:asciiTheme="minorHAnsi" w:hAnsiTheme="minorHAnsi" w:cstheme="minorHAnsi"/>
          <w:color w:val="auto"/>
        </w:rPr>
        <w:t>.</w:t>
      </w:r>
    </w:p>
    <w:p w:rsidR="00A04593" w:rsidRPr="00FF4611" w:rsidRDefault="00A04593" w:rsidP="00E5563D">
      <w:pPr>
        <w:pStyle w:val="Body"/>
        <w:jc w:val="both"/>
        <w:rPr>
          <w:rFonts w:asciiTheme="minorHAnsi" w:eastAsiaTheme="minorHAnsi" w:hAnsiTheme="minorHAnsi" w:cstheme="minorHAnsi"/>
          <w:bdr w:val="none" w:sz="0" w:space="0" w:color="auto"/>
          <w:lang w:eastAsia="en-US"/>
        </w:rPr>
      </w:pPr>
      <w:r w:rsidRPr="00FF4611">
        <w:rPr>
          <w:rFonts w:asciiTheme="minorHAnsi" w:eastAsiaTheme="minorHAnsi" w:hAnsiTheme="minorHAnsi" w:cstheme="minorHAnsi"/>
          <w:bdr w:val="none" w:sz="0" w:space="0" w:color="auto"/>
          <w:lang w:eastAsia="en-US"/>
        </w:rPr>
        <w:t xml:space="preserve">Rose, Nickolas. 2019. </w:t>
      </w:r>
      <w:r w:rsidRPr="00FF4611">
        <w:rPr>
          <w:rFonts w:asciiTheme="minorHAnsi" w:eastAsiaTheme="minorHAnsi" w:hAnsiTheme="minorHAnsi" w:cstheme="minorHAnsi"/>
          <w:i/>
          <w:bdr w:val="none" w:sz="0" w:space="0" w:color="auto"/>
          <w:lang w:eastAsia="en-US"/>
        </w:rPr>
        <w:t>Our Psychiatric Future</w:t>
      </w:r>
      <w:r w:rsidRPr="00FF4611">
        <w:rPr>
          <w:rFonts w:asciiTheme="minorHAnsi" w:eastAsiaTheme="minorHAnsi" w:hAnsiTheme="minorHAnsi" w:cstheme="minorHAnsi"/>
          <w:bdr w:val="none" w:sz="0" w:space="0" w:color="auto"/>
          <w:lang w:eastAsia="en-US"/>
        </w:rPr>
        <w:t>. Oxford: Polity.</w:t>
      </w:r>
    </w:p>
    <w:p w:rsidR="00A04593" w:rsidRPr="0014579C" w:rsidRDefault="00A04593" w:rsidP="0014579C">
      <w:pPr>
        <w:shd w:val="clear" w:color="auto" w:fill="FFFFFF"/>
        <w:spacing w:before="100" w:beforeAutospacing="1" w:after="0" w:afterAutospacing="1" w:line="240" w:lineRule="auto"/>
        <w:jc w:val="both"/>
        <w:rPr>
          <w:rFonts w:cstheme="minorHAnsi"/>
          <w:color w:val="777777"/>
        </w:rPr>
      </w:pPr>
      <w:r w:rsidRPr="0014579C">
        <w:rPr>
          <w:rFonts w:cstheme="minorHAnsi"/>
        </w:rPr>
        <w:t xml:space="preserve">Russo, Jasna, and Peter Beresford. 2015. “Between Exclusion and Colonisation: Seeking a Place for Mad People’s Knowledge in Academia.” </w:t>
      </w:r>
      <w:r w:rsidRPr="0014579C">
        <w:rPr>
          <w:rFonts w:cstheme="minorHAnsi"/>
          <w:i/>
        </w:rPr>
        <w:t>Disability &amp; Society</w:t>
      </w:r>
      <w:r w:rsidRPr="0014579C">
        <w:rPr>
          <w:rFonts w:cstheme="minorHAnsi"/>
        </w:rPr>
        <w:t xml:space="preserve"> 30 (1):153–57.</w:t>
      </w:r>
      <w:r w:rsidRPr="0014579C">
        <w:rPr>
          <w:rFonts w:cstheme="minorHAnsi"/>
          <w:lang w:val="en-US"/>
        </w:rPr>
        <w:t xml:space="preserve"> doi</w:t>
      </w:r>
      <w:r w:rsidRPr="0014579C">
        <w:rPr>
          <w:rFonts w:cstheme="minorHAnsi"/>
          <w:color w:val="777777"/>
          <w:lang w:val="en-US"/>
        </w:rPr>
        <w:t>:</w:t>
      </w:r>
      <w:hyperlink r:id="rId15" w:tgtFrame="_blank" w:history="1">
        <w:r w:rsidRPr="0014579C">
          <w:rPr>
            <w:rStyle w:val="Hyperlink"/>
            <w:rFonts w:cstheme="minorHAnsi"/>
            <w:color w:val="auto"/>
            <w:u w:val="none"/>
            <w:bdr w:val="none" w:sz="0" w:space="0" w:color="auto" w:frame="1"/>
          </w:rPr>
          <w:t>10.1080/09687599.2014.957925</w:t>
        </w:r>
      </w:hyperlink>
      <w:r w:rsidRPr="0014579C">
        <w:rPr>
          <w:rFonts w:cstheme="minorHAnsi"/>
          <w:lang w:val="en-US"/>
        </w:rPr>
        <w:t>.</w:t>
      </w:r>
    </w:p>
    <w:p w:rsidR="00A04593" w:rsidRPr="00331FCD" w:rsidRDefault="00A04593" w:rsidP="00331FCD">
      <w:pPr>
        <w:jc w:val="both"/>
        <w:rPr>
          <w:rFonts w:cstheme="minorHAnsi"/>
          <w:lang w:val="en-US"/>
        </w:rPr>
      </w:pPr>
      <w:r w:rsidRPr="00FF4611">
        <w:rPr>
          <w:rFonts w:cstheme="minorHAnsi"/>
          <w:bCs/>
          <w:color w:val="231F20"/>
          <w:lang w:val="en-US"/>
        </w:rPr>
        <w:t>Russo, Jasna. 2016. “</w:t>
      </w:r>
      <w:r w:rsidRPr="00FF4611">
        <w:rPr>
          <w:rFonts w:cstheme="minorHAnsi"/>
          <w:color w:val="000000"/>
        </w:rPr>
        <w:t xml:space="preserve">In </w:t>
      </w:r>
      <w:r w:rsidRPr="00FF4611">
        <w:rPr>
          <w:rFonts w:cstheme="minorHAnsi"/>
          <w:color w:val="000000"/>
          <w:lang w:val="en-US"/>
        </w:rPr>
        <w:t>D</w:t>
      </w:r>
      <w:r w:rsidRPr="00FF4611">
        <w:rPr>
          <w:rFonts w:cstheme="minorHAnsi"/>
          <w:color w:val="000000"/>
        </w:rPr>
        <w:t xml:space="preserve">ialogue with </w:t>
      </w:r>
      <w:r w:rsidRPr="00FF4611">
        <w:rPr>
          <w:rFonts w:cstheme="minorHAnsi"/>
          <w:color w:val="000000"/>
          <w:lang w:val="en-US"/>
        </w:rPr>
        <w:t>C</w:t>
      </w:r>
      <w:r w:rsidRPr="00FF4611">
        <w:rPr>
          <w:rFonts w:cstheme="minorHAnsi"/>
          <w:color w:val="000000"/>
        </w:rPr>
        <w:t xml:space="preserve">onventional </w:t>
      </w:r>
      <w:r w:rsidRPr="00FF4611">
        <w:rPr>
          <w:rFonts w:cstheme="minorHAnsi"/>
          <w:color w:val="000000"/>
          <w:lang w:val="en-US"/>
        </w:rPr>
        <w:t>N</w:t>
      </w:r>
      <w:r w:rsidRPr="00FF4611">
        <w:rPr>
          <w:rFonts w:cstheme="minorHAnsi"/>
          <w:color w:val="000000"/>
        </w:rPr>
        <w:t xml:space="preserve">arrative </w:t>
      </w:r>
      <w:r w:rsidRPr="00FF4611">
        <w:rPr>
          <w:rFonts w:cstheme="minorHAnsi"/>
          <w:color w:val="000000"/>
          <w:lang w:val="en-US"/>
        </w:rPr>
        <w:t>R</w:t>
      </w:r>
      <w:r w:rsidRPr="00FF4611">
        <w:rPr>
          <w:rFonts w:cstheme="minorHAnsi"/>
          <w:color w:val="000000"/>
        </w:rPr>
        <w:t>esearch in</w:t>
      </w:r>
      <w:r w:rsidRPr="00FF4611">
        <w:rPr>
          <w:rFonts w:cstheme="minorHAnsi"/>
          <w:color w:val="000000"/>
          <w:lang w:val="en-US"/>
        </w:rPr>
        <w:t xml:space="preserve"> P</w:t>
      </w:r>
      <w:r w:rsidRPr="00FF4611">
        <w:rPr>
          <w:rFonts w:cstheme="minorHAnsi"/>
          <w:color w:val="000000"/>
        </w:rPr>
        <w:t xml:space="preserve">sychiatry and </w:t>
      </w:r>
      <w:r w:rsidRPr="00FF4611">
        <w:rPr>
          <w:rFonts w:cstheme="minorHAnsi"/>
          <w:color w:val="000000"/>
          <w:lang w:val="en-US"/>
        </w:rPr>
        <w:t>M</w:t>
      </w:r>
      <w:r w:rsidRPr="00FF4611">
        <w:rPr>
          <w:rFonts w:cstheme="minorHAnsi"/>
          <w:color w:val="000000"/>
        </w:rPr>
        <w:t xml:space="preserve">ental </w:t>
      </w:r>
      <w:r w:rsidRPr="00FF4611">
        <w:rPr>
          <w:rFonts w:cstheme="minorHAnsi"/>
          <w:color w:val="000000"/>
          <w:lang w:val="en-US"/>
        </w:rPr>
        <w:t>H</w:t>
      </w:r>
      <w:r w:rsidRPr="00FF4611">
        <w:rPr>
          <w:rFonts w:cstheme="minorHAnsi"/>
          <w:color w:val="000000"/>
        </w:rPr>
        <w:t>ealth</w:t>
      </w:r>
      <w:r w:rsidRPr="00FF4611">
        <w:rPr>
          <w:rFonts w:cstheme="minorHAnsi"/>
          <w:color w:val="000000"/>
          <w:lang w:val="en-US"/>
        </w:rPr>
        <w:t xml:space="preserve">.” </w:t>
      </w:r>
      <w:r w:rsidRPr="00FF4611">
        <w:rPr>
          <w:rFonts w:cstheme="minorHAnsi"/>
          <w:i/>
          <w:color w:val="000000"/>
        </w:rPr>
        <w:t>Philosophy, Psychiatry, &amp; Psychology</w:t>
      </w:r>
      <w:r w:rsidRPr="00FF4611">
        <w:rPr>
          <w:rFonts w:cstheme="minorHAnsi"/>
          <w:color w:val="000000"/>
        </w:rPr>
        <w:t xml:space="preserve"> 23</w:t>
      </w:r>
      <w:r w:rsidRPr="00FF4611">
        <w:rPr>
          <w:rFonts w:cstheme="minorHAnsi"/>
          <w:color w:val="000000"/>
          <w:lang w:val="en-US"/>
        </w:rPr>
        <w:t>, (</w:t>
      </w:r>
      <w:r w:rsidRPr="00FF4611">
        <w:rPr>
          <w:rFonts w:cstheme="minorHAnsi"/>
          <w:color w:val="000000"/>
        </w:rPr>
        <w:t>3</w:t>
      </w:r>
      <w:r w:rsidRPr="00FF4611">
        <w:rPr>
          <w:rFonts w:eastAsia="Calibri" w:cstheme="minorHAnsi"/>
          <w:color w:val="000000"/>
        </w:rPr>
        <w:t>–</w:t>
      </w:r>
      <w:r w:rsidRPr="00FF4611">
        <w:rPr>
          <w:rFonts w:cstheme="minorHAnsi"/>
          <w:color w:val="000000"/>
        </w:rPr>
        <w:t>4</w:t>
      </w:r>
      <w:r>
        <w:rPr>
          <w:rFonts w:cstheme="minorHAnsi"/>
          <w:color w:val="000000"/>
          <w:lang w:val="en-US"/>
        </w:rPr>
        <w:t>):</w:t>
      </w:r>
      <w:r w:rsidRPr="00FF4611">
        <w:rPr>
          <w:rFonts w:cstheme="minorHAnsi"/>
          <w:color w:val="000000"/>
        </w:rPr>
        <w:t>215</w:t>
      </w:r>
      <w:r w:rsidRPr="00FF4611">
        <w:rPr>
          <w:rFonts w:eastAsia="Calibri" w:cstheme="minorHAnsi"/>
          <w:color w:val="000000"/>
        </w:rPr>
        <w:t>–</w:t>
      </w:r>
      <w:r w:rsidRPr="00FF4611">
        <w:rPr>
          <w:rFonts w:cstheme="minorHAnsi"/>
          <w:color w:val="000000"/>
        </w:rPr>
        <w:t>28</w:t>
      </w:r>
      <w:r w:rsidRPr="00FF4611">
        <w:rPr>
          <w:rFonts w:cstheme="minorHAnsi"/>
          <w:color w:val="000000"/>
          <w:lang w:val="en-US"/>
        </w:rPr>
        <w:t>.</w:t>
      </w:r>
      <w:r>
        <w:rPr>
          <w:rFonts w:cstheme="minorHAnsi"/>
          <w:color w:val="000000"/>
          <w:lang w:val="en-US"/>
        </w:rPr>
        <w:t xml:space="preserve"> </w:t>
      </w:r>
      <w:r w:rsidRPr="00331FCD">
        <w:rPr>
          <w:rFonts w:cstheme="minorHAnsi"/>
          <w:lang w:val="en-US"/>
        </w:rPr>
        <w:t>doi:</w:t>
      </w:r>
      <w:r w:rsidRPr="00331FCD">
        <w:rPr>
          <w:rFonts w:cstheme="minorHAnsi"/>
        </w:rPr>
        <w:t xml:space="preserve"> </w:t>
      </w:r>
      <w:hyperlink r:id="rId16" w:history="1">
        <w:r w:rsidRPr="00331FCD">
          <w:rPr>
            <w:rStyle w:val="Hyperlink"/>
            <w:rFonts w:cstheme="minorHAnsi"/>
            <w:color w:val="auto"/>
            <w:u w:val="none"/>
          </w:rPr>
          <w:t>10.1353/ppp.2016.0021</w:t>
        </w:r>
      </w:hyperlink>
      <w:r w:rsidRPr="00331FCD">
        <w:rPr>
          <w:rFonts w:cstheme="minorHAnsi"/>
          <w:lang w:val="en-US"/>
        </w:rPr>
        <w:t>.</w:t>
      </w:r>
    </w:p>
    <w:p w:rsidR="00A04593" w:rsidRPr="00FF4611" w:rsidRDefault="00A04593" w:rsidP="00FF4611">
      <w:pPr>
        <w:jc w:val="both"/>
        <w:rPr>
          <w:rFonts w:cstheme="minorHAnsi"/>
          <w:color w:val="000000"/>
          <w:lang w:val="en-US"/>
        </w:rPr>
      </w:pPr>
      <w:r w:rsidRPr="00FF4611">
        <w:rPr>
          <w:rFonts w:cstheme="minorHAnsi"/>
          <w:lang w:val="en-US"/>
        </w:rPr>
        <w:lastRenderedPageBreak/>
        <w:t xml:space="preserve">Shipkowenski, Nikola. 1974. </w:t>
      </w:r>
      <w:r>
        <w:rPr>
          <w:rFonts w:cstheme="minorHAnsi"/>
          <w:lang w:val="en-US"/>
        </w:rPr>
        <w:t>“</w:t>
      </w:r>
      <w:r w:rsidRPr="00FF4611">
        <w:rPr>
          <w:rFonts w:cstheme="minorHAnsi"/>
          <w:lang w:val="en-US"/>
        </w:rPr>
        <w:t>Svoboda ot bolestotvornata obstanovka – prepostavka za vsyaka psihoterapiya</w:t>
      </w:r>
      <w:r>
        <w:rPr>
          <w:rFonts w:cstheme="minorHAnsi"/>
          <w:lang w:val="en-US"/>
        </w:rPr>
        <w:t>”</w:t>
      </w:r>
      <w:r w:rsidRPr="00FF4611">
        <w:rPr>
          <w:rFonts w:cstheme="minorHAnsi"/>
          <w:lang w:val="en-US"/>
        </w:rPr>
        <w:t xml:space="preserve"> [Freedom from illness-generating setting</w:t>
      </w:r>
      <w:r>
        <w:rPr>
          <w:rFonts w:cstheme="minorHAnsi"/>
          <w:lang w:val="en-US"/>
        </w:rPr>
        <w:t>s</w:t>
      </w:r>
      <w:r w:rsidRPr="00FF4611">
        <w:rPr>
          <w:rFonts w:cstheme="minorHAnsi"/>
          <w:lang w:val="en-US"/>
        </w:rPr>
        <w:t xml:space="preserve"> – condition for any psychotherapy]. </w:t>
      </w:r>
      <w:r w:rsidRPr="00FF4611">
        <w:rPr>
          <w:rFonts w:eastAsia="Calibri" w:cstheme="minorHAnsi"/>
          <w:i/>
          <w:lang w:val="en-US"/>
        </w:rPr>
        <w:t>Nevrologiya, psihiatriya i nevrohirurgiya</w:t>
      </w:r>
      <w:r w:rsidRPr="00FF4611">
        <w:rPr>
          <w:rFonts w:cstheme="minorHAnsi"/>
          <w:i/>
          <w:lang w:val="en-US"/>
        </w:rPr>
        <w:t xml:space="preserve"> 5</w:t>
      </w:r>
      <w:r w:rsidRPr="00FF4611">
        <w:rPr>
          <w:rFonts w:cstheme="minorHAnsi"/>
          <w:i/>
        </w:rPr>
        <w:t xml:space="preserve">: </w:t>
      </w:r>
      <w:r>
        <w:rPr>
          <w:rFonts w:cstheme="minorHAnsi"/>
          <w:color w:val="000000"/>
        </w:rPr>
        <w:t>390</w:t>
      </w:r>
      <w:r>
        <w:rPr>
          <w:rFonts w:cstheme="minorHAnsi"/>
          <w:color w:val="000000"/>
          <w:lang w:val="en-US"/>
        </w:rPr>
        <w:t>–</w:t>
      </w:r>
      <w:r w:rsidRPr="00FF4611">
        <w:rPr>
          <w:rFonts w:cstheme="minorHAnsi"/>
          <w:color w:val="000000"/>
        </w:rPr>
        <w:t>97.</w:t>
      </w:r>
    </w:p>
    <w:p w:rsidR="00A04593" w:rsidRPr="00D1069E" w:rsidRDefault="00A04593" w:rsidP="00FF4611">
      <w:pPr>
        <w:jc w:val="both"/>
        <w:rPr>
          <w:rFonts w:cstheme="minorHAnsi"/>
          <w:lang w:val="en-US"/>
        </w:rPr>
      </w:pPr>
      <w:r>
        <w:rPr>
          <w:rFonts w:cstheme="minorHAnsi"/>
        </w:rPr>
        <w:t>Sofia Psychiatric Society</w:t>
      </w:r>
      <w:r>
        <w:rPr>
          <w:rFonts w:cstheme="minorHAnsi"/>
          <w:lang w:val="en-US"/>
        </w:rPr>
        <w:t>.</w:t>
      </w:r>
      <w:r>
        <w:rPr>
          <w:rFonts w:cstheme="minorHAnsi"/>
        </w:rPr>
        <w:t xml:space="preserve"> 2001</w:t>
      </w:r>
      <w:r>
        <w:rPr>
          <w:rFonts w:cstheme="minorHAnsi"/>
          <w:lang w:val="en-US"/>
        </w:rPr>
        <w:t>.</w:t>
      </w:r>
      <w:r w:rsidRPr="00FF4611">
        <w:rPr>
          <w:rFonts w:cstheme="minorHAnsi"/>
        </w:rPr>
        <w:t xml:space="preserve"> </w:t>
      </w:r>
      <w:r w:rsidR="00806358">
        <w:rPr>
          <w:rFonts w:cstheme="minorHAnsi"/>
          <w:lang w:val="en-US"/>
        </w:rPr>
        <w:t>“Politicheska zloupotreba s psi</w:t>
      </w:r>
      <w:r>
        <w:rPr>
          <w:rFonts w:cstheme="minorHAnsi"/>
          <w:lang w:val="en-US"/>
        </w:rPr>
        <w:t>hiatriyata predi 1989 g.” [</w:t>
      </w:r>
      <w:r w:rsidRPr="00FF4611">
        <w:rPr>
          <w:rFonts w:cstheme="minorHAnsi"/>
        </w:rPr>
        <w:t>Political abuse of psychiatry before 1989</w:t>
      </w:r>
      <w:r>
        <w:rPr>
          <w:rFonts w:cstheme="minorHAnsi"/>
          <w:lang w:val="en-US"/>
        </w:rPr>
        <w:t>].</w:t>
      </w:r>
      <w:r w:rsidRPr="00FF4611">
        <w:rPr>
          <w:rFonts w:cstheme="minorHAnsi"/>
        </w:rPr>
        <w:t xml:space="preserve"> </w:t>
      </w:r>
      <w:r w:rsidRPr="00E90637">
        <w:rPr>
          <w:rFonts w:cstheme="minorHAnsi"/>
          <w:i/>
          <w:lang w:val="en-US"/>
        </w:rPr>
        <w:t>Buyletin of BPA</w:t>
      </w:r>
      <w:r>
        <w:rPr>
          <w:rFonts w:cstheme="minorHAnsi"/>
          <w:lang w:val="en-US"/>
        </w:rPr>
        <w:t xml:space="preserve">, 3: </w:t>
      </w:r>
      <w:r w:rsidRPr="00FF4611">
        <w:rPr>
          <w:rFonts w:cstheme="minorHAnsi"/>
        </w:rPr>
        <w:t>49</w:t>
      </w:r>
      <w:r>
        <w:rPr>
          <w:rFonts w:cstheme="minorHAnsi"/>
          <w:lang w:val="en-US"/>
        </w:rPr>
        <w:t>-55.</w:t>
      </w:r>
    </w:p>
    <w:p w:rsidR="00A04593" w:rsidRDefault="00A04593" w:rsidP="00FF4611">
      <w:pPr>
        <w:jc w:val="both"/>
        <w:rPr>
          <w:rFonts w:cstheme="minorHAnsi"/>
          <w:color w:val="0E101A"/>
          <w:lang w:val="en-US"/>
        </w:rPr>
      </w:pPr>
      <w:r w:rsidRPr="00FF4611">
        <w:rPr>
          <w:rFonts w:cstheme="minorHAnsi"/>
          <w:color w:val="0E101A"/>
        </w:rPr>
        <w:t>Sotirov</w:t>
      </w:r>
      <w:r>
        <w:rPr>
          <w:rFonts w:cstheme="minorHAnsi"/>
          <w:color w:val="0E101A"/>
          <w:lang w:val="en-US"/>
        </w:rPr>
        <w:t>, Vladimir.</w:t>
      </w:r>
      <w:r w:rsidRPr="00FF4611">
        <w:rPr>
          <w:rFonts w:cstheme="minorHAnsi"/>
          <w:color w:val="0E101A"/>
        </w:rPr>
        <w:t xml:space="preserve"> 2021. </w:t>
      </w:r>
      <w:r>
        <w:rPr>
          <w:rFonts w:cstheme="minorHAnsi"/>
          <w:color w:val="0E101A"/>
          <w:lang w:val="en-US"/>
        </w:rPr>
        <w:t xml:space="preserve">“Ako ti samiyat ne priemesh razlichieto, ne se identificirash s nego, ne go integrirash v prestavata za sebe si, shte stradash mnogo” [If You Do Not Accept the Difference, Do Not Identify With It, Do Not Incorporate It In Your Self-Image, You Will Suffer a Lot]. </w:t>
      </w:r>
      <w:r w:rsidRPr="00FF4611">
        <w:rPr>
          <w:rFonts w:cstheme="minorHAnsi"/>
          <w:i/>
          <w:lang w:val="en-US"/>
        </w:rPr>
        <w:t>Critique &amp; Humanism</w:t>
      </w:r>
      <w:r w:rsidRPr="00FF4611">
        <w:rPr>
          <w:rFonts w:cstheme="minorHAnsi"/>
          <w:lang w:val="en-US"/>
        </w:rPr>
        <w:t xml:space="preserve"> 55(2)</w:t>
      </w:r>
      <w:r>
        <w:rPr>
          <w:rFonts w:cstheme="minorHAnsi"/>
          <w:color w:val="0E101A"/>
          <w:lang w:val="en-US"/>
        </w:rPr>
        <w:t>: 253–46.</w:t>
      </w:r>
    </w:p>
    <w:p w:rsidR="00CD6B15" w:rsidRPr="00CD6B15" w:rsidRDefault="00CD6B15" w:rsidP="00CD6B15">
      <w:pPr>
        <w:spacing w:line="240" w:lineRule="auto"/>
        <w:jc w:val="both"/>
        <w:rPr>
          <w:rFonts w:cstheme="minorHAnsi"/>
          <w:color w:val="242021"/>
        </w:rPr>
      </w:pPr>
      <w:r w:rsidRPr="00CD6B15">
        <w:rPr>
          <w:rFonts w:cstheme="minorHAnsi"/>
          <w:color w:val="000000"/>
          <w:lang w:val="en-US"/>
        </w:rPr>
        <w:t>Spandler, H</w:t>
      </w:r>
      <w:r>
        <w:rPr>
          <w:rFonts w:cstheme="minorHAnsi"/>
          <w:color w:val="000000"/>
          <w:lang w:val="en-US"/>
        </w:rPr>
        <w:t xml:space="preserve">elen, </w:t>
      </w:r>
      <w:r w:rsidRPr="00CD6B15">
        <w:rPr>
          <w:rFonts w:cstheme="minorHAnsi"/>
          <w:color w:val="000000"/>
          <w:lang w:val="en-US"/>
        </w:rPr>
        <w:t>Anderson</w:t>
      </w:r>
      <w:r>
        <w:rPr>
          <w:rFonts w:cstheme="minorHAnsi"/>
          <w:color w:val="000000"/>
          <w:lang w:val="en-US"/>
        </w:rPr>
        <w:t>, Jill,</w:t>
      </w:r>
      <w:r w:rsidRPr="00CD6B15">
        <w:rPr>
          <w:rFonts w:cstheme="minorHAnsi"/>
          <w:color w:val="000000"/>
          <w:lang w:val="en-US"/>
        </w:rPr>
        <w:t xml:space="preserve"> and </w:t>
      </w:r>
      <w:r w:rsidRPr="00CD6B15">
        <w:rPr>
          <w:rFonts w:cstheme="minorHAnsi"/>
          <w:color w:val="241F1F"/>
        </w:rPr>
        <w:t>B</w:t>
      </w:r>
      <w:r>
        <w:rPr>
          <w:rFonts w:cstheme="minorHAnsi"/>
          <w:color w:val="241F1F"/>
          <w:lang w:val="en-US"/>
        </w:rPr>
        <w:t>ob</w:t>
      </w:r>
      <w:r w:rsidRPr="00CD6B15">
        <w:rPr>
          <w:rFonts w:cstheme="minorHAnsi"/>
          <w:color w:val="241F1F"/>
        </w:rPr>
        <w:t xml:space="preserve"> Sapey</w:t>
      </w:r>
      <w:r>
        <w:rPr>
          <w:rFonts w:cstheme="minorHAnsi"/>
          <w:color w:val="241F1F"/>
          <w:lang w:val="en-US"/>
        </w:rPr>
        <w:t>, eds. 2015.</w:t>
      </w:r>
      <w:r w:rsidRPr="00CD6B15">
        <w:rPr>
          <w:rFonts w:cstheme="minorHAnsi"/>
          <w:color w:val="241F1F"/>
          <w:lang w:val="en-US"/>
        </w:rPr>
        <w:t xml:space="preserve"> </w:t>
      </w:r>
      <w:r w:rsidRPr="00CD6B15">
        <w:rPr>
          <w:rFonts w:cstheme="minorHAnsi"/>
          <w:i/>
          <w:color w:val="241F1F"/>
          <w:lang w:val="en-US"/>
        </w:rPr>
        <w:t>Madness, distress and the politics of disablement</w:t>
      </w:r>
      <w:r w:rsidRPr="00CD6B15">
        <w:rPr>
          <w:rFonts w:cstheme="minorHAnsi"/>
          <w:color w:val="241F1F"/>
          <w:lang w:val="en-US"/>
        </w:rPr>
        <w:t>. Bristol:</w:t>
      </w:r>
      <w:r w:rsidRPr="00CD6B15">
        <w:rPr>
          <w:rFonts w:cstheme="minorHAnsi"/>
          <w:color w:val="241F1F"/>
        </w:rPr>
        <w:t xml:space="preserve"> </w:t>
      </w:r>
      <w:r w:rsidRPr="00CD6B15">
        <w:rPr>
          <w:rFonts w:cstheme="minorHAnsi"/>
          <w:color w:val="241F1F"/>
          <w:lang w:val="en-US"/>
        </w:rPr>
        <w:t>Policy Press.</w:t>
      </w:r>
    </w:p>
    <w:p w:rsidR="00A04593" w:rsidRPr="00FF4611" w:rsidRDefault="00A04593" w:rsidP="00FF4611">
      <w:pPr>
        <w:jc w:val="both"/>
        <w:rPr>
          <w:rFonts w:cstheme="minorHAnsi"/>
        </w:rPr>
      </w:pPr>
      <w:r w:rsidRPr="00FF4611">
        <w:rPr>
          <w:rFonts w:cstheme="minorHAnsi"/>
          <w:lang w:val="en-US"/>
        </w:rPr>
        <w:t xml:space="preserve">Stankushev, Todor. </w:t>
      </w:r>
      <w:r w:rsidRPr="00FF4611">
        <w:rPr>
          <w:rFonts w:cstheme="minorHAnsi"/>
        </w:rPr>
        <w:t>1982</w:t>
      </w:r>
      <w:r w:rsidRPr="00FF4611">
        <w:rPr>
          <w:rFonts w:cstheme="minorHAnsi"/>
          <w:lang w:val="en-US"/>
        </w:rPr>
        <w:t>.</w:t>
      </w:r>
      <w:r w:rsidRPr="00FF4611">
        <w:rPr>
          <w:rFonts w:cstheme="minorHAnsi"/>
        </w:rPr>
        <w:t xml:space="preserve"> </w:t>
      </w:r>
      <w:r w:rsidRPr="00FF4611">
        <w:rPr>
          <w:rFonts w:cstheme="minorHAnsi"/>
          <w:i/>
          <w:lang w:val="en-US"/>
        </w:rPr>
        <w:t>Narkomanii</w:t>
      </w:r>
      <w:r>
        <w:rPr>
          <w:rFonts w:cstheme="minorHAnsi"/>
          <w:lang w:val="en-US"/>
        </w:rPr>
        <w:t xml:space="preserve"> [Addictions]</w:t>
      </w:r>
      <w:r w:rsidRPr="00FF4611">
        <w:rPr>
          <w:rFonts w:cstheme="minorHAnsi"/>
          <w:lang w:val="en-US"/>
        </w:rPr>
        <w:t>.</w:t>
      </w:r>
      <w:r w:rsidRPr="00FF4611">
        <w:rPr>
          <w:rFonts w:cstheme="minorHAnsi"/>
        </w:rPr>
        <w:t xml:space="preserve"> </w:t>
      </w:r>
      <w:r w:rsidRPr="00FF4611">
        <w:rPr>
          <w:rFonts w:cstheme="minorHAnsi"/>
          <w:lang w:val="en-US"/>
        </w:rPr>
        <w:t>Sofia: Medicina i Fizkultura.</w:t>
      </w:r>
    </w:p>
    <w:p w:rsidR="00A04593" w:rsidRPr="00FF4611" w:rsidRDefault="00A04593" w:rsidP="00FF4611">
      <w:pPr>
        <w:spacing w:line="240" w:lineRule="auto"/>
        <w:jc w:val="both"/>
        <w:rPr>
          <w:rFonts w:eastAsia="Calibri" w:cstheme="minorHAnsi"/>
          <w:color w:val="000000"/>
        </w:rPr>
      </w:pPr>
      <w:r w:rsidRPr="00FF4611">
        <w:rPr>
          <w:rFonts w:eastAsia="Calibri" w:cstheme="minorHAnsi"/>
          <w:color w:val="000000"/>
          <w:lang w:val="en-US"/>
        </w:rPr>
        <w:t>Stankushev, T</w:t>
      </w:r>
      <w:r>
        <w:rPr>
          <w:rFonts w:eastAsia="Calibri" w:cstheme="minorHAnsi"/>
          <w:color w:val="000000"/>
          <w:lang w:val="en-US"/>
        </w:rPr>
        <w:t>odor</w:t>
      </w:r>
      <w:r w:rsidRPr="00FF4611">
        <w:rPr>
          <w:rFonts w:eastAsia="Calibri" w:cstheme="minorHAnsi"/>
          <w:color w:val="000000"/>
        </w:rPr>
        <w:t>.</w:t>
      </w:r>
      <w:r>
        <w:rPr>
          <w:rFonts w:eastAsia="Calibri" w:cstheme="minorHAnsi"/>
          <w:color w:val="000000"/>
          <w:lang w:val="en-US"/>
        </w:rPr>
        <w:t xml:space="preserve"> 1985.</w:t>
      </w:r>
      <w:r w:rsidRPr="00FF4611">
        <w:rPr>
          <w:rFonts w:eastAsia="Calibri" w:cstheme="minorHAnsi"/>
          <w:color w:val="000000"/>
          <w:lang w:val="en-US"/>
        </w:rPr>
        <w:t xml:space="preserve"> </w:t>
      </w:r>
      <w:r w:rsidRPr="00FF4611">
        <w:rPr>
          <w:rFonts w:eastAsia="Calibri" w:cstheme="minorHAnsi"/>
          <w:i/>
          <w:color w:val="000000"/>
          <w:lang w:val="en-US"/>
        </w:rPr>
        <w:t>Etyudi na psihiatara</w:t>
      </w:r>
      <w:r>
        <w:rPr>
          <w:rFonts w:eastAsia="Calibri" w:cstheme="minorHAnsi"/>
          <w:color w:val="000000"/>
          <w:lang w:val="en-US"/>
        </w:rPr>
        <w:t xml:space="preserve"> [Essays of a P</w:t>
      </w:r>
      <w:r w:rsidRPr="00FF4611">
        <w:rPr>
          <w:rFonts w:eastAsia="Calibri" w:cstheme="minorHAnsi"/>
          <w:color w:val="000000"/>
          <w:lang w:val="en-US"/>
        </w:rPr>
        <w:t xml:space="preserve">sychiatrist]. </w:t>
      </w:r>
      <w:r w:rsidRPr="00FF4611">
        <w:rPr>
          <w:rFonts w:eastAsia="Calibri" w:cstheme="minorHAnsi"/>
          <w:color w:val="000000"/>
        </w:rPr>
        <w:t>Sofia: Meditsina i Fizkultura</w:t>
      </w:r>
      <w:r w:rsidRPr="00FF4611">
        <w:rPr>
          <w:rFonts w:eastAsia="Calibri" w:cstheme="minorHAnsi"/>
          <w:color w:val="000000"/>
          <w:lang w:val="en-US"/>
        </w:rPr>
        <w:t>.</w:t>
      </w:r>
    </w:p>
    <w:p w:rsidR="00A04593" w:rsidRDefault="00A04593" w:rsidP="00331FCD">
      <w:pPr>
        <w:jc w:val="both"/>
        <w:rPr>
          <w:rFonts w:cstheme="minorHAnsi"/>
          <w:color w:val="000000"/>
          <w:lang w:val="en-US"/>
        </w:rPr>
      </w:pPr>
      <w:r w:rsidRPr="00FF4611">
        <w:rPr>
          <w:rFonts w:cstheme="minorHAnsi"/>
          <w:color w:val="000000"/>
          <w:lang w:val="en-US"/>
        </w:rPr>
        <w:t xml:space="preserve">Svintila, Vladimir. 1992. </w:t>
      </w:r>
      <w:r w:rsidRPr="00FF4611">
        <w:rPr>
          <w:rFonts w:cstheme="minorHAnsi"/>
          <w:i/>
          <w:color w:val="000000"/>
          <w:lang w:val="en-US"/>
        </w:rPr>
        <w:t>Liceto na Gorgonata</w:t>
      </w:r>
      <w:r w:rsidRPr="00FF4611">
        <w:rPr>
          <w:rFonts w:cstheme="minorHAnsi"/>
          <w:color w:val="000000"/>
          <w:lang w:val="en-US"/>
        </w:rPr>
        <w:t xml:space="preserve"> </w:t>
      </w:r>
      <w:r>
        <w:rPr>
          <w:rFonts w:cstheme="minorHAnsi"/>
          <w:color w:val="000000"/>
          <w:lang w:val="en-US"/>
        </w:rPr>
        <w:t>[</w:t>
      </w:r>
      <w:r w:rsidRPr="00FF4611">
        <w:rPr>
          <w:rFonts w:cstheme="minorHAnsi"/>
          <w:i/>
          <w:color w:val="000000"/>
          <w:lang w:val="en-US"/>
        </w:rPr>
        <w:t>T</w:t>
      </w:r>
      <w:r w:rsidRPr="00FF4611">
        <w:rPr>
          <w:rFonts w:cstheme="minorHAnsi"/>
          <w:color w:val="000000"/>
          <w:lang w:val="en-US"/>
        </w:rPr>
        <w:t xml:space="preserve">he Face of the </w:t>
      </w:r>
      <w:r w:rsidRPr="00331FCD">
        <w:rPr>
          <w:rFonts w:cstheme="minorHAnsi"/>
          <w:i/>
          <w:color w:val="000000"/>
          <w:lang w:val="en-US"/>
        </w:rPr>
        <w:t>Gorgon]. Sofia</w:t>
      </w:r>
      <w:r w:rsidRPr="00FF4611">
        <w:rPr>
          <w:rFonts w:cstheme="minorHAnsi"/>
          <w:color w:val="000000"/>
          <w:lang w:val="en-US"/>
        </w:rPr>
        <w:t>: Iztok-Zapad.</w:t>
      </w:r>
    </w:p>
    <w:p w:rsidR="00A04593" w:rsidRPr="00FF4611" w:rsidRDefault="00A04593" w:rsidP="00FF4611">
      <w:pPr>
        <w:jc w:val="both"/>
        <w:rPr>
          <w:rFonts w:cstheme="minorHAnsi"/>
          <w:shd w:val="clear" w:color="auto" w:fill="F8F9FA"/>
          <w:lang w:val="en-US"/>
        </w:rPr>
      </w:pPr>
      <w:r w:rsidRPr="00FF4611">
        <w:rPr>
          <w:rFonts w:cstheme="minorHAnsi"/>
          <w:lang w:val="en-US"/>
        </w:rPr>
        <w:t xml:space="preserve">Temkov, Ivan, ed. 1978. </w:t>
      </w:r>
      <w:r w:rsidRPr="00FF4611">
        <w:rPr>
          <w:rFonts w:cstheme="minorHAnsi"/>
          <w:i/>
          <w:lang w:val="en-US"/>
        </w:rPr>
        <w:t>R</w:t>
      </w:r>
      <w:r w:rsidR="00806358">
        <w:rPr>
          <w:rFonts w:cstheme="minorHAnsi"/>
          <w:i/>
          <w:shd w:val="clear" w:color="auto" w:fill="F8F9FA"/>
          <w:lang w:val="en-US"/>
        </w:rPr>
        <w:t>a</w:t>
      </w:r>
      <w:r w:rsidRPr="00FF4611">
        <w:rPr>
          <w:rFonts w:cstheme="minorHAnsi"/>
          <w:i/>
          <w:shd w:val="clear" w:color="auto" w:fill="F8F9FA"/>
          <w:lang w:val="en-US"/>
        </w:rPr>
        <w:t>kovodstvo za prakticheski uprazhnenija po psihiatri</w:t>
      </w:r>
      <w:r w:rsidR="00806358">
        <w:rPr>
          <w:rFonts w:cstheme="minorHAnsi"/>
          <w:i/>
          <w:shd w:val="clear" w:color="auto" w:fill="F8F9FA"/>
          <w:lang w:val="en-US"/>
        </w:rPr>
        <w:t>ya</w:t>
      </w:r>
      <w:r>
        <w:rPr>
          <w:rFonts w:cstheme="minorHAnsi"/>
          <w:shd w:val="clear" w:color="auto" w:fill="F8F9FA"/>
          <w:lang w:val="en-US"/>
        </w:rPr>
        <w:t xml:space="preserve"> [</w:t>
      </w:r>
      <w:r w:rsidRPr="00FF4611">
        <w:rPr>
          <w:rFonts w:cstheme="minorHAnsi"/>
          <w:shd w:val="clear" w:color="auto" w:fill="F8F9FA"/>
          <w:lang w:val="en-US"/>
        </w:rPr>
        <w:t>Manual for Pr</w:t>
      </w:r>
      <w:r>
        <w:rPr>
          <w:rFonts w:cstheme="minorHAnsi"/>
          <w:shd w:val="clear" w:color="auto" w:fill="F8F9FA"/>
          <w:lang w:val="en-US"/>
        </w:rPr>
        <w:t>actical Exercises in Psychiatry]</w:t>
      </w:r>
      <w:r w:rsidRPr="00FF4611">
        <w:rPr>
          <w:rFonts w:cstheme="minorHAnsi"/>
          <w:shd w:val="clear" w:color="auto" w:fill="F8F9FA"/>
          <w:lang w:val="en-US"/>
        </w:rPr>
        <w:t xml:space="preserve">. </w:t>
      </w:r>
      <w:r w:rsidRPr="00FF4611">
        <w:rPr>
          <w:rFonts w:cstheme="minorHAnsi"/>
          <w:lang w:val="en-US"/>
        </w:rPr>
        <w:t>Sofia: Medicina i Fizkultura.</w:t>
      </w:r>
    </w:p>
    <w:p w:rsidR="00A04593" w:rsidRPr="00FF4611" w:rsidRDefault="00A04593" w:rsidP="00FF4611">
      <w:pPr>
        <w:jc w:val="both"/>
        <w:rPr>
          <w:rFonts w:cstheme="minorHAnsi"/>
          <w:lang w:val="en-US"/>
        </w:rPr>
      </w:pPr>
      <w:r w:rsidRPr="00FF4611">
        <w:rPr>
          <w:rFonts w:cstheme="minorHAnsi"/>
          <w:lang w:val="en-US"/>
        </w:rPr>
        <w:t xml:space="preserve">Temkov, Ivan, </w:t>
      </w:r>
      <w:r>
        <w:rPr>
          <w:rFonts w:cstheme="minorHAnsi"/>
          <w:lang w:val="en-US"/>
        </w:rPr>
        <w:t xml:space="preserve">Vladimir </w:t>
      </w:r>
      <w:r w:rsidRPr="00FF4611">
        <w:rPr>
          <w:rFonts w:cstheme="minorHAnsi"/>
          <w:lang w:val="en-US"/>
        </w:rPr>
        <w:t xml:space="preserve">Ivanov, and Todor Tashev. 1973. </w:t>
      </w:r>
      <w:r>
        <w:rPr>
          <w:rFonts w:cstheme="minorHAnsi"/>
          <w:i/>
          <w:lang w:val="en-US"/>
        </w:rPr>
        <w:t>Psihiatriy</w:t>
      </w:r>
      <w:r w:rsidRPr="00FF4611">
        <w:rPr>
          <w:rFonts w:cstheme="minorHAnsi"/>
          <w:i/>
          <w:lang w:val="en-US"/>
        </w:rPr>
        <w:t>a. Uchebnik za studenti po medicina</w:t>
      </w:r>
      <w:r>
        <w:rPr>
          <w:rFonts w:cstheme="minorHAnsi"/>
          <w:lang w:val="en-US"/>
        </w:rPr>
        <w:t xml:space="preserve"> [</w:t>
      </w:r>
      <w:r w:rsidRPr="00FF4611">
        <w:rPr>
          <w:rFonts w:cstheme="minorHAnsi"/>
          <w:lang w:val="en-US"/>
        </w:rPr>
        <w:t>Psychiatry</w:t>
      </w:r>
      <w:r>
        <w:rPr>
          <w:rFonts w:cstheme="minorHAnsi"/>
          <w:lang w:val="en-US"/>
        </w:rPr>
        <w:t>. Textbook for Medical Students]</w:t>
      </w:r>
      <w:r w:rsidRPr="00FF4611">
        <w:rPr>
          <w:rFonts w:cstheme="minorHAnsi"/>
          <w:lang w:val="en-US"/>
        </w:rPr>
        <w:t>. Sofia: Medicina i Fizkultura.</w:t>
      </w:r>
    </w:p>
    <w:p w:rsidR="00A04593" w:rsidRPr="00FF4611" w:rsidRDefault="00A04593" w:rsidP="00FF4611">
      <w:pPr>
        <w:spacing w:line="240" w:lineRule="auto"/>
        <w:jc w:val="both"/>
        <w:rPr>
          <w:rFonts w:eastAsia="Calibri" w:cstheme="minorHAnsi"/>
          <w:color w:val="242021"/>
        </w:rPr>
      </w:pPr>
      <w:r w:rsidRPr="00FF4611">
        <w:rPr>
          <w:rFonts w:eastAsia="Calibri" w:cstheme="minorHAnsi"/>
          <w:color w:val="000000"/>
          <w:lang w:val="en-US"/>
        </w:rPr>
        <w:t>Todorov, S</w:t>
      </w:r>
      <w:r>
        <w:rPr>
          <w:rFonts w:eastAsia="Calibri" w:cstheme="minorHAnsi"/>
          <w:color w:val="000000"/>
          <w:lang w:val="en-US"/>
        </w:rPr>
        <w:t>tefan. 1989.</w:t>
      </w:r>
      <w:r w:rsidRPr="00FF4611">
        <w:rPr>
          <w:rFonts w:eastAsia="Calibri" w:cstheme="minorHAnsi"/>
          <w:color w:val="000000"/>
        </w:rPr>
        <w:t xml:space="preserve"> </w:t>
      </w:r>
      <w:r>
        <w:rPr>
          <w:rFonts w:eastAsia="Calibri" w:cstheme="minorHAnsi"/>
          <w:color w:val="000000"/>
        </w:rPr>
        <w:t>„</w:t>
      </w:r>
      <w:r w:rsidRPr="00FF4611">
        <w:rPr>
          <w:rFonts w:eastAsia="Calibri" w:cstheme="minorHAnsi"/>
          <w:color w:val="000000"/>
          <w:lang w:val="en-US"/>
        </w:rPr>
        <w:t>Otnoshenieto obshtestvo – psihichno bolen</w:t>
      </w:r>
      <w:r>
        <w:rPr>
          <w:rFonts w:eastAsia="Calibri" w:cstheme="minorHAnsi"/>
          <w:color w:val="000000"/>
        </w:rPr>
        <w:t>”</w:t>
      </w:r>
      <w:r w:rsidRPr="00FF4611">
        <w:rPr>
          <w:rFonts w:eastAsia="Calibri" w:cstheme="minorHAnsi"/>
          <w:color w:val="000000"/>
          <w:lang w:val="en-US"/>
        </w:rPr>
        <w:t xml:space="preserve"> [The relationship between society and the men</w:t>
      </w:r>
      <w:r>
        <w:rPr>
          <w:rFonts w:eastAsia="Calibri" w:cstheme="minorHAnsi"/>
          <w:color w:val="000000"/>
          <w:lang w:val="en-US"/>
        </w:rPr>
        <w:t>tally ill] In</w:t>
      </w:r>
      <w:r w:rsidRPr="00FF4611">
        <w:rPr>
          <w:rFonts w:eastAsia="Calibri" w:cstheme="minorHAnsi"/>
          <w:color w:val="000000"/>
          <w:lang w:val="en-US"/>
        </w:rPr>
        <w:t xml:space="preserve"> </w:t>
      </w:r>
      <w:r w:rsidRPr="00FF4611">
        <w:rPr>
          <w:rFonts w:eastAsia="Calibri" w:cstheme="minorHAnsi"/>
          <w:i/>
          <w:color w:val="000000"/>
          <w:lang w:val="en-US"/>
        </w:rPr>
        <w:t>Sotsialna psihiatriya</w:t>
      </w:r>
      <w:r>
        <w:rPr>
          <w:rFonts w:eastAsia="Calibri" w:cstheme="minorHAnsi"/>
          <w:color w:val="000000"/>
          <w:lang w:val="en-US"/>
        </w:rPr>
        <w:t xml:space="preserve"> [Social Psychiatry] edited by Vladimir Ivanov, 214-21.</w:t>
      </w:r>
      <w:r w:rsidRPr="00FF4611">
        <w:rPr>
          <w:rFonts w:eastAsia="Calibri" w:cstheme="minorHAnsi"/>
          <w:color w:val="000000"/>
          <w:lang w:val="en-US"/>
        </w:rPr>
        <w:t xml:space="preserve"> </w:t>
      </w:r>
      <w:r w:rsidRPr="00FF4611">
        <w:rPr>
          <w:rFonts w:eastAsia="Calibri" w:cstheme="minorHAnsi"/>
          <w:color w:val="000000"/>
        </w:rPr>
        <w:t>Sofia: Meditsina i Fizkultura.</w:t>
      </w:r>
    </w:p>
    <w:p w:rsidR="00A04593" w:rsidRPr="00FF4611" w:rsidRDefault="00A04593" w:rsidP="00FF4611">
      <w:pPr>
        <w:jc w:val="both"/>
        <w:rPr>
          <w:rFonts w:cstheme="minorHAnsi"/>
        </w:rPr>
      </w:pPr>
      <w:r w:rsidRPr="00FF4611">
        <w:rPr>
          <w:rFonts w:cstheme="minorHAnsi"/>
          <w:lang w:val="en-US"/>
        </w:rPr>
        <w:t xml:space="preserve">Usunoff, Georgi, et Kosta Zaimov. 1972. </w:t>
      </w:r>
      <w:r>
        <w:rPr>
          <w:rFonts w:cstheme="minorHAnsi"/>
          <w:lang w:val="en-US"/>
        </w:rPr>
        <w:t>“</w:t>
      </w:r>
      <w:r w:rsidRPr="00FF4611">
        <w:rPr>
          <w:rFonts w:cstheme="minorHAnsi"/>
          <w:lang w:val="en-US"/>
        </w:rPr>
        <w:t>Ecrits d’un paraphrene.</w:t>
      </w:r>
      <w:r>
        <w:rPr>
          <w:rFonts w:cstheme="minorHAnsi"/>
          <w:lang w:val="en-US"/>
        </w:rPr>
        <w:t>”</w:t>
      </w:r>
      <w:r w:rsidRPr="00FF4611">
        <w:rPr>
          <w:rFonts w:cstheme="minorHAnsi"/>
          <w:lang w:val="en-US"/>
        </w:rPr>
        <w:t xml:space="preserve"> </w:t>
      </w:r>
      <w:r w:rsidRPr="00FF4611">
        <w:rPr>
          <w:rFonts w:cstheme="minorHAnsi"/>
          <w:i/>
          <w:lang w:val="en-US"/>
        </w:rPr>
        <w:t>Annales Medico-psychologiques</w:t>
      </w:r>
      <w:r w:rsidRPr="00FF4611">
        <w:rPr>
          <w:rFonts w:cstheme="minorHAnsi"/>
          <w:lang w:val="en-US"/>
        </w:rPr>
        <w:t>, 1(3):</w:t>
      </w:r>
      <w:r w:rsidRPr="00FF4611">
        <w:rPr>
          <w:rFonts w:cstheme="minorHAnsi"/>
        </w:rPr>
        <w:t>327</w:t>
      </w:r>
      <w:r w:rsidRPr="00FF4611">
        <w:rPr>
          <w:rFonts w:cstheme="minorHAnsi"/>
          <w:lang w:val="en-US"/>
        </w:rPr>
        <w:t>–</w:t>
      </w:r>
      <w:r w:rsidRPr="00FF4611">
        <w:rPr>
          <w:rFonts w:cstheme="minorHAnsi"/>
        </w:rPr>
        <w:t>56</w:t>
      </w:r>
      <w:r w:rsidRPr="00FF4611">
        <w:rPr>
          <w:rFonts w:cstheme="minorHAnsi"/>
          <w:lang w:val="en-US"/>
        </w:rPr>
        <w:t>.</w:t>
      </w:r>
    </w:p>
    <w:p w:rsidR="00A04593" w:rsidRDefault="00A04593" w:rsidP="00FF4611">
      <w:pPr>
        <w:jc w:val="both"/>
        <w:rPr>
          <w:rFonts w:cstheme="minorHAnsi"/>
          <w:lang w:val="en-US"/>
        </w:rPr>
      </w:pPr>
      <w:r w:rsidRPr="00FF4611">
        <w:rPr>
          <w:rFonts w:cstheme="minorHAnsi"/>
          <w:color w:val="242021"/>
          <w:lang w:val="en-US"/>
        </w:rPr>
        <w:t xml:space="preserve">Van Voren, Robert. 2010. </w:t>
      </w:r>
      <w:r w:rsidRPr="00FF4611">
        <w:rPr>
          <w:rFonts w:cstheme="minorHAnsi"/>
          <w:i/>
          <w:color w:val="242021"/>
          <w:lang w:val="en-US"/>
        </w:rPr>
        <w:t>Cold War in Psychiatry. Human Factors, Secret Actors</w:t>
      </w:r>
      <w:r w:rsidRPr="00FF4611">
        <w:rPr>
          <w:rFonts w:cstheme="minorHAnsi"/>
          <w:color w:val="242021"/>
          <w:lang w:val="en-US"/>
        </w:rPr>
        <w:t xml:space="preserve">. </w:t>
      </w:r>
      <w:r w:rsidRPr="00FF4611">
        <w:rPr>
          <w:rFonts w:cstheme="minorHAnsi"/>
          <w:lang w:val="en-US"/>
        </w:rPr>
        <w:t>Amsterdam-NY: Rodopi.</w:t>
      </w:r>
    </w:p>
    <w:p w:rsidR="00A04593" w:rsidRDefault="00A04593" w:rsidP="00D1069E">
      <w:pPr>
        <w:jc w:val="both"/>
        <w:rPr>
          <w:rFonts w:cstheme="minorHAnsi"/>
          <w:lang w:val="en-US"/>
        </w:rPr>
      </w:pPr>
      <w:r>
        <w:rPr>
          <w:rFonts w:cstheme="minorHAnsi"/>
          <w:lang w:val="en-US"/>
        </w:rPr>
        <w:t xml:space="preserve">Velinov, Vladimir. 1995. “Otnosno Havaiskata deklaraciya” [On the Declaration of Hawaii]. In </w:t>
      </w:r>
      <w:r w:rsidRPr="00B038D1">
        <w:rPr>
          <w:rFonts w:cstheme="minorHAnsi"/>
          <w:i/>
          <w:lang w:val="en-US"/>
        </w:rPr>
        <w:t>Chetvarta nacionalna konfereciya</w:t>
      </w:r>
      <w:r>
        <w:rPr>
          <w:rFonts w:cstheme="minorHAnsi"/>
          <w:lang w:val="en-US"/>
        </w:rPr>
        <w:t xml:space="preserve">. </w:t>
      </w:r>
      <w:r w:rsidRPr="00B038D1">
        <w:rPr>
          <w:rFonts w:cstheme="minorHAnsi"/>
          <w:i/>
          <w:lang w:val="en-US"/>
        </w:rPr>
        <w:t>Sbornik dokladi</w:t>
      </w:r>
      <w:r>
        <w:rPr>
          <w:rFonts w:cstheme="minorHAnsi"/>
          <w:i/>
          <w:lang w:val="en-US"/>
        </w:rPr>
        <w:t xml:space="preserve"> </w:t>
      </w:r>
      <w:r>
        <w:rPr>
          <w:rFonts w:cstheme="minorHAnsi"/>
          <w:lang w:val="en-US"/>
        </w:rPr>
        <w:t xml:space="preserve">[Fourth National Conference. Collection of papers], 17-8. Radnevo: </w:t>
      </w:r>
      <w:r w:rsidRPr="00FF4611">
        <w:rPr>
          <w:rFonts w:cstheme="minorHAnsi"/>
          <w:lang w:val="en-US"/>
        </w:rPr>
        <w:t>Hypnos Books</w:t>
      </w:r>
      <w:r>
        <w:rPr>
          <w:rFonts w:cstheme="minorHAnsi"/>
          <w:lang w:val="en-US"/>
        </w:rPr>
        <w:t>.</w:t>
      </w:r>
    </w:p>
    <w:p w:rsidR="00A04593" w:rsidRPr="00FF4611" w:rsidRDefault="00A04593" w:rsidP="00E5563D">
      <w:pPr>
        <w:pStyle w:val="Body"/>
        <w:jc w:val="both"/>
        <w:rPr>
          <w:rFonts w:asciiTheme="minorHAnsi" w:hAnsiTheme="minorHAnsi" w:cstheme="minorHAnsi"/>
          <w:bCs/>
        </w:rPr>
      </w:pPr>
      <w:r>
        <w:rPr>
          <w:rFonts w:asciiTheme="minorHAnsi" w:eastAsiaTheme="minorHAnsi" w:hAnsiTheme="minorHAnsi" w:cstheme="minorHAnsi"/>
          <w:bdr w:val="none" w:sz="0" w:space="0" w:color="auto"/>
          <w:lang w:val="bg-BG" w:eastAsia="en-US"/>
        </w:rPr>
        <w:t>Walker, Jack</w:t>
      </w:r>
      <w:r w:rsidRPr="00FF4611">
        <w:rPr>
          <w:rFonts w:asciiTheme="minorHAnsi" w:eastAsiaTheme="minorHAnsi" w:hAnsiTheme="minorHAnsi" w:cstheme="minorHAnsi"/>
          <w:bdr w:val="none" w:sz="0" w:space="0" w:color="auto"/>
          <w:lang w:val="bg-BG" w:eastAsia="en-US"/>
        </w:rPr>
        <w:t xml:space="preserve">. 1991. </w:t>
      </w:r>
      <w:r w:rsidRPr="00FF4611">
        <w:rPr>
          <w:rFonts w:asciiTheme="minorHAnsi" w:eastAsiaTheme="minorHAnsi" w:hAnsiTheme="minorHAnsi" w:cstheme="minorHAnsi"/>
          <w:i/>
          <w:iCs/>
          <w:bdr w:val="none" w:sz="0" w:space="0" w:color="auto"/>
          <w:lang w:val="bg-BG" w:eastAsia="en-US"/>
        </w:rPr>
        <w:t>Mobilizing Interest Groups in America: Patrons, Professions, and Social</w:t>
      </w:r>
      <w:r w:rsidRPr="00FF4611">
        <w:rPr>
          <w:rFonts w:asciiTheme="minorHAnsi" w:eastAsiaTheme="minorHAnsi" w:hAnsiTheme="minorHAnsi" w:cstheme="minorHAnsi"/>
          <w:i/>
          <w:iCs/>
          <w:bdr w:val="none" w:sz="0" w:space="0" w:color="auto"/>
          <w:lang w:eastAsia="en-US"/>
        </w:rPr>
        <w:t xml:space="preserve"> </w:t>
      </w:r>
      <w:r w:rsidRPr="00FF4611">
        <w:rPr>
          <w:rFonts w:asciiTheme="minorHAnsi" w:eastAsiaTheme="minorHAnsi" w:hAnsiTheme="minorHAnsi" w:cstheme="minorHAnsi"/>
          <w:i/>
          <w:iCs/>
          <w:bdr w:val="none" w:sz="0" w:space="0" w:color="auto"/>
          <w:lang w:val="bg-BG" w:eastAsia="en-US"/>
        </w:rPr>
        <w:t>Movements</w:t>
      </w:r>
      <w:r w:rsidRPr="00FF4611">
        <w:rPr>
          <w:rFonts w:asciiTheme="minorHAnsi" w:eastAsiaTheme="minorHAnsi" w:hAnsiTheme="minorHAnsi" w:cstheme="minorHAnsi"/>
          <w:bdr w:val="none" w:sz="0" w:space="0" w:color="auto"/>
          <w:lang w:val="bg-BG" w:eastAsia="en-US"/>
        </w:rPr>
        <w:t>. Ann Arbor: University of Michigan Press</w:t>
      </w:r>
    </w:p>
    <w:p w:rsidR="00A04593" w:rsidRPr="000E3066" w:rsidRDefault="00A04593" w:rsidP="00401781">
      <w:pPr>
        <w:jc w:val="both"/>
        <w:rPr>
          <w:rFonts w:eastAsia="Times New Roman" w:cstheme="minorHAnsi"/>
          <w:color w:val="242021"/>
          <w:lang w:val="en-US" w:eastAsia="bg-BG"/>
        </w:rPr>
      </w:pPr>
      <w:r w:rsidRPr="000E3066">
        <w:rPr>
          <w:rFonts w:eastAsia="Times New Roman" w:cstheme="minorHAnsi"/>
          <w:color w:val="242021"/>
          <w:lang w:eastAsia="bg-BG"/>
        </w:rPr>
        <w:t xml:space="preserve">Williams, Rhys H. 1995. “Constructing the Public Good: Social Movements and Cultural Resources.” </w:t>
      </w:r>
      <w:r w:rsidRPr="000E3066">
        <w:rPr>
          <w:rFonts w:eastAsia="Times New Roman" w:cstheme="minorHAnsi"/>
          <w:i/>
          <w:iCs/>
          <w:color w:val="242021"/>
          <w:lang w:eastAsia="bg-BG"/>
        </w:rPr>
        <w:t xml:space="preserve">Social Problems </w:t>
      </w:r>
      <w:r w:rsidRPr="000E3066">
        <w:rPr>
          <w:rFonts w:eastAsia="Times New Roman" w:cstheme="minorHAnsi"/>
          <w:color w:val="242021"/>
          <w:lang w:eastAsia="bg-BG"/>
        </w:rPr>
        <w:t>42</w:t>
      </w:r>
      <w:r w:rsidRPr="000E3066">
        <w:rPr>
          <w:rFonts w:eastAsia="Times New Roman" w:cstheme="minorHAnsi"/>
          <w:color w:val="242021"/>
          <w:lang w:val="en-US" w:eastAsia="bg-BG"/>
        </w:rPr>
        <w:t>(1)</w:t>
      </w:r>
      <w:r w:rsidRPr="000E3066">
        <w:rPr>
          <w:rFonts w:eastAsia="Times New Roman" w:cstheme="minorHAnsi"/>
          <w:color w:val="242021"/>
          <w:lang w:eastAsia="bg-BG"/>
        </w:rPr>
        <w:t>:124–44</w:t>
      </w:r>
      <w:r w:rsidRPr="000E3066">
        <w:rPr>
          <w:rFonts w:eastAsia="Times New Roman" w:cstheme="minorHAnsi"/>
          <w:color w:val="242021"/>
          <w:lang w:val="en-US" w:eastAsia="bg-BG"/>
        </w:rPr>
        <w:t xml:space="preserve">. </w:t>
      </w:r>
    </w:p>
    <w:p w:rsidR="00A04593" w:rsidRPr="0014579C" w:rsidRDefault="00A04593" w:rsidP="00E5563D">
      <w:pPr>
        <w:jc w:val="both"/>
        <w:rPr>
          <w:rFonts w:eastAsia="Times New Roman" w:cstheme="minorHAnsi"/>
          <w:lang w:val="en-US" w:eastAsia="bg-BG"/>
        </w:rPr>
      </w:pPr>
      <w:r w:rsidRPr="00FF4611">
        <w:rPr>
          <w:rFonts w:cstheme="minorHAnsi"/>
          <w:color w:val="000000"/>
          <w:lang w:val="en-US"/>
        </w:rPr>
        <w:t>Winkler, Petr, Dzmitry</w:t>
      </w:r>
      <w:r w:rsidRPr="0014579C">
        <w:rPr>
          <w:rFonts w:cstheme="minorHAnsi"/>
          <w:color w:val="000000"/>
          <w:lang w:val="en-US"/>
        </w:rPr>
        <w:t xml:space="preserve"> </w:t>
      </w:r>
      <w:r w:rsidRPr="00FF4611">
        <w:rPr>
          <w:rFonts w:cstheme="minorHAnsi"/>
          <w:color w:val="000000"/>
          <w:lang w:val="en-US"/>
        </w:rPr>
        <w:t xml:space="preserve">Krupchanka, </w:t>
      </w:r>
      <w:r>
        <w:rPr>
          <w:rFonts w:cstheme="minorHAnsi"/>
          <w:color w:val="000000"/>
          <w:lang w:val="en-US"/>
        </w:rPr>
        <w:t>Tessa Roberts et</w:t>
      </w:r>
      <w:r w:rsidRPr="00FF4611">
        <w:rPr>
          <w:rFonts w:cstheme="minorHAnsi"/>
          <w:color w:val="000000"/>
          <w:lang w:val="en-US"/>
        </w:rPr>
        <w:t xml:space="preserve"> al. 2017. “</w:t>
      </w:r>
      <w:r w:rsidRPr="00FF4611">
        <w:rPr>
          <w:rFonts w:cstheme="minorHAnsi"/>
        </w:rPr>
        <w:t xml:space="preserve">A </w:t>
      </w:r>
      <w:r w:rsidRPr="00FF4611">
        <w:rPr>
          <w:rFonts w:cstheme="minorHAnsi"/>
          <w:lang w:val="en-US"/>
        </w:rPr>
        <w:t>B</w:t>
      </w:r>
      <w:r w:rsidRPr="00FF4611">
        <w:rPr>
          <w:rFonts w:cstheme="minorHAnsi"/>
        </w:rPr>
        <w:t xml:space="preserve">lind </w:t>
      </w:r>
      <w:r w:rsidRPr="00FF4611">
        <w:rPr>
          <w:rFonts w:cstheme="minorHAnsi"/>
          <w:lang w:val="en-US"/>
        </w:rPr>
        <w:t>S</w:t>
      </w:r>
      <w:r w:rsidRPr="00FF4611">
        <w:rPr>
          <w:rFonts w:cstheme="minorHAnsi"/>
        </w:rPr>
        <w:t xml:space="preserve">pot on the </w:t>
      </w:r>
      <w:r w:rsidRPr="00FF4611">
        <w:rPr>
          <w:rFonts w:cstheme="minorHAnsi"/>
          <w:lang w:val="en-US"/>
        </w:rPr>
        <w:t>G</w:t>
      </w:r>
      <w:r w:rsidRPr="00FF4611">
        <w:rPr>
          <w:rFonts w:cstheme="minorHAnsi"/>
        </w:rPr>
        <w:t xml:space="preserve">lobal </w:t>
      </w:r>
      <w:r w:rsidRPr="00FF4611">
        <w:rPr>
          <w:rFonts w:cstheme="minorHAnsi"/>
          <w:lang w:val="en-US"/>
        </w:rPr>
        <w:t>M</w:t>
      </w:r>
      <w:r w:rsidRPr="00FF4611">
        <w:rPr>
          <w:rFonts w:cstheme="minorHAnsi"/>
        </w:rPr>
        <w:t xml:space="preserve">ental </w:t>
      </w:r>
      <w:r w:rsidRPr="00FF4611">
        <w:rPr>
          <w:rFonts w:cstheme="minorHAnsi"/>
          <w:lang w:val="en-US"/>
        </w:rPr>
        <w:t>H</w:t>
      </w:r>
      <w:r w:rsidRPr="00FF4611">
        <w:rPr>
          <w:rFonts w:cstheme="minorHAnsi"/>
        </w:rPr>
        <w:t xml:space="preserve">ealth </w:t>
      </w:r>
      <w:r w:rsidRPr="00FF4611">
        <w:rPr>
          <w:rFonts w:cstheme="minorHAnsi"/>
          <w:lang w:val="en-US"/>
        </w:rPr>
        <w:t>M</w:t>
      </w:r>
      <w:r w:rsidRPr="00FF4611">
        <w:rPr>
          <w:rFonts w:cstheme="minorHAnsi"/>
        </w:rPr>
        <w:t xml:space="preserve">ap: a </w:t>
      </w:r>
      <w:r w:rsidRPr="00FF4611">
        <w:rPr>
          <w:rFonts w:cstheme="minorHAnsi"/>
          <w:lang w:val="en-US"/>
        </w:rPr>
        <w:t>S</w:t>
      </w:r>
      <w:r w:rsidRPr="00FF4611">
        <w:rPr>
          <w:rFonts w:cstheme="minorHAnsi"/>
        </w:rPr>
        <w:t xml:space="preserve">coping </w:t>
      </w:r>
      <w:r w:rsidRPr="00FF4611">
        <w:rPr>
          <w:rFonts w:cstheme="minorHAnsi"/>
          <w:lang w:val="en-US"/>
        </w:rPr>
        <w:t>R</w:t>
      </w:r>
      <w:r w:rsidRPr="00FF4611">
        <w:rPr>
          <w:rFonts w:cstheme="minorHAnsi"/>
        </w:rPr>
        <w:t xml:space="preserve">eview of 25 </w:t>
      </w:r>
      <w:r w:rsidRPr="00FF4611">
        <w:rPr>
          <w:rFonts w:cstheme="minorHAnsi"/>
          <w:lang w:val="en-US"/>
        </w:rPr>
        <w:t>Y</w:t>
      </w:r>
      <w:r w:rsidRPr="00FF4611">
        <w:rPr>
          <w:rFonts w:cstheme="minorHAnsi"/>
        </w:rPr>
        <w:t xml:space="preserve">ears' </w:t>
      </w:r>
      <w:r w:rsidRPr="00FF4611">
        <w:rPr>
          <w:rFonts w:cstheme="minorHAnsi"/>
          <w:lang w:val="en-US"/>
        </w:rPr>
        <w:t>D</w:t>
      </w:r>
      <w:r w:rsidRPr="00FF4611">
        <w:rPr>
          <w:rFonts w:cstheme="minorHAnsi"/>
        </w:rPr>
        <w:t xml:space="preserve">evelopment of </w:t>
      </w:r>
      <w:r w:rsidRPr="00FF4611">
        <w:rPr>
          <w:rFonts w:cstheme="minorHAnsi"/>
          <w:lang w:val="en-US"/>
        </w:rPr>
        <w:t>M</w:t>
      </w:r>
      <w:r w:rsidRPr="00FF4611">
        <w:rPr>
          <w:rFonts w:cstheme="minorHAnsi"/>
        </w:rPr>
        <w:t xml:space="preserve">ental </w:t>
      </w:r>
      <w:r w:rsidRPr="00FF4611">
        <w:rPr>
          <w:rFonts w:cstheme="minorHAnsi"/>
          <w:lang w:val="en-US"/>
        </w:rPr>
        <w:t>H</w:t>
      </w:r>
      <w:r w:rsidRPr="00FF4611">
        <w:rPr>
          <w:rFonts w:cstheme="minorHAnsi"/>
        </w:rPr>
        <w:t xml:space="preserve">ealth </w:t>
      </w:r>
      <w:r w:rsidRPr="00FF4611">
        <w:rPr>
          <w:rFonts w:cstheme="minorHAnsi"/>
          <w:lang w:val="en-US"/>
        </w:rPr>
        <w:t>C</w:t>
      </w:r>
      <w:r w:rsidRPr="00FF4611">
        <w:rPr>
          <w:rFonts w:cstheme="minorHAnsi"/>
        </w:rPr>
        <w:t xml:space="preserve">are for </w:t>
      </w:r>
      <w:r w:rsidRPr="00FF4611">
        <w:rPr>
          <w:rFonts w:cstheme="minorHAnsi"/>
          <w:lang w:val="en-US"/>
        </w:rPr>
        <w:t>P</w:t>
      </w:r>
      <w:r w:rsidRPr="00FF4611">
        <w:rPr>
          <w:rFonts w:cstheme="minorHAnsi"/>
        </w:rPr>
        <w:t xml:space="preserve">eople with </w:t>
      </w:r>
      <w:r w:rsidRPr="00FF4611">
        <w:rPr>
          <w:rFonts w:cstheme="minorHAnsi"/>
          <w:lang w:val="en-US"/>
        </w:rPr>
        <w:t>S</w:t>
      </w:r>
      <w:r w:rsidRPr="00FF4611">
        <w:rPr>
          <w:rFonts w:cstheme="minorHAnsi"/>
        </w:rPr>
        <w:t xml:space="preserve">evere </w:t>
      </w:r>
      <w:r w:rsidRPr="00FF4611">
        <w:rPr>
          <w:rFonts w:cstheme="minorHAnsi"/>
          <w:lang w:val="en-US"/>
        </w:rPr>
        <w:t>M</w:t>
      </w:r>
      <w:r w:rsidRPr="00FF4611">
        <w:rPr>
          <w:rFonts w:cstheme="minorHAnsi"/>
        </w:rPr>
        <w:t xml:space="preserve">ental </w:t>
      </w:r>
      <w:r w:rsidRPr="00FF4611">
        <w:rPr>
          <w:rFonts w:cstheme="minorHAnsi"/>
          <w:lang w:val="en-US"/>
        </w:rPr>
        <w:t>I</w:t>
      </w:r>
      <w:r w:rsidRPr="00FF4611">
        <w:rPr>
          <w:rFonts w:cstheme="minorHAnsi"/>
        </w:rPr>
        <w:t xml:space="preserve">llnesses in </w:t>
      </w:r>
      <w:r w:rsidRPr="00FF4611">
        <w:rPr>
          <w:rFonts w:cstheme="minorHAnsi"/>
          <w:lang w:val="en-US"/>
        </w:rPr>
        <w:t>C</w:t>
      </w:r>
      <w:r w:rsidRPr="00FF4611">
        <w:rPr>
          <w:rFonts w:cstheme="minorHAnsi"/>
        </w:rPr>
        <w:t xml:space="preserve">entral and </w:t>
      </w:r>
      <w:r w:rsidRPr="00FF4611">
        <w:rPr>
          <w:rFonts w:cstheme="minorHAnsi"/>
          <w:lang w:val="en-US"/>
        </w:rPr>
        <w:t>E</w:t>
      </w:r>
      <w:r w:rsidRPr="00FF4611">
        <w:rPr>
          <w:rFonts w:cstheme="minorHAnsi"/>
        </w:rPr>
        <w:t>astern Europe</w:t>
      </w:r>
      <w:r w:rsidRPr="00FF4611">
        <w:rPr>
          <w:rFonts w:cstheme="minorHAnsi"/>
          <w:lang w:val="en-US"/>
        </w:rPr>
        <w:t xml:space="preserve">.” </w:t>
      </w:r>
      <w:r w:rsidRPr="00FF4611">
        <w:rPr>
          <w:rFonts w:eastAsia="Times New Roman" w:cstheme="minorHAnsi"/>
          <w:i/>
          <w:lang w:eastAsia="bg-BG"/>
        </w:rPr>
        <w:t>Lancet Psychiatr</w:t>
      </w:r>
      <w:r w:rsidRPr="00FF4611">
        <w:rPr>
          <w:rFonts w:eastAsia="Times New Roman" w:cstheme="minorHAnsi"/>
          <w:i/>
          <w:lang w:val="en-US" w:eastAsia="bg-BG"/>
        </w:rPr>
        <w:t>y</w:t>
      </w:r>
      <w:r w:rsidRPr="00FF4611">
        <w:rPr>
          <w:rFonts w:eastAsia="Times New Roman" w:cstheme="minorHAnsi"/>
          <w:lang w:val="en-US" w:eastAsia="bg-BG"/>
        </w:rPr>
        <w:t xml:space="preserve"> </w:t>
      </w:r>
      <w:r w:rsidRPr="00FF4611">
        <w:rPr>
          <w:rFonts w:eastAsia="Times New Roman" w:cstheme="minorHAnsi"/>
          <w:lang w:eastAsia="bg-BG"/>
        </w:rPr>
        <w:t>4</w:t>
      </w:r>
      <w:r w:rsidRPr="00FF4611">
        <w:rPr>
          <w:rFonts w:eastAsia="Times New Roman" w:cstheme="minorHAnsi"/>
          <w:lang w:val="en-US" w:eastAsia="bg-BG"/>
        </w:rPr>
        <w:t xml:space="preserve"> (8)</w:t>
      </w:r>
      <w:r w:rsidRPr="00FF4611">
        <w:rPr>
          <w:rFonts w:eastAsia="Times New Roman" w:cstheme="minorHAnsi"/>
          <w:lang w:eastAsia="bg-BG"/>
        </w:rPr>
        <w:t>:634</w:t>
      </w:r>
      <w:r w:rsidRPr="00FF4611">
        <w:rPr>
          <w:rFonts w:eastAsia="Calibri" w:cstheme="minorHAnsi"/>
          <w:color w:val="000000"/>
        </w:rPr>
        <w:t>–</w:t>
      </w:r>
      <w:r w:rsidRPr="00FF4611">
        <w:rPr>
          <w:rFonts w:eastAsia="Times New Roman" w:cstheme="minorHAnsi"/>
          <w:lang w:eastAsia="bg-BG"/>
        </w:rPr>
        <w:t>42.</w:t>
      </w:r>
      <w:r>
        <w:rPr>
          <w:rFonts w:eastAsia="Times New Roman" w:cstheme="minorHAnsi"/>
          <w:lang w:val="en-US" w:eastAsia="bg-BG"/>
        </w:rPr>
        <w:t xml:space="preserve"> doi:</w:t>
      </w:r>
      <w:r w:rsidRPr="0014579C">
        <w:rPr>
          <w:rFonts w:ascii="Segoe UI" w:hAnsi="Segoe UI" w:cs="Segoe UI"/>
          <w:color w:val="5B616B"/>
          <w:sz w:val="19"/>
          <w:szCs w:val="19"/>
          <w:shd w:val="clear" w:color="auto" w:fill="FFFFFF"/>
        </w:rPr>
        <w:t xml:space="preserve"> </w:t>
      </w:r>
      <w:r w:rsidRPr="0014579C">
        <w:rPr>
          <w:rFonts w:cstheme="minorHAnsi"/>
          <w:shd w:val="clear" w:color="auto" w:fill="FFFFFF"/>
        </w:rPr>
        <w:t>10.1016/S2215-0366(17)30135-9</w:t>
      </w:r>
      <w:r w:rsidRPr="0014579C">
        <w:rPr>
          <w:rFonts w:cstheme="minorHAnsi"/>
          <w:shd w:val="clear" w:color="auto" w:fill="FFFFFF"/>
          <w:lang w:val="en-US"/>
        </w:rPr>
        <w:t>.</w:t>
      </w:r>
    </w:p>
    <w:p w:rsidR="00A04593" w:rsidRPr="00FF4611" w:rsidRDefault="00A04593" w:rsidP="00FF4611">
      <w:pPr>
        <w:jc w:val="both"/>
        <w:rPr>
          <w:rFonts w:cstheme="minorHAnsi"/>
          <w:lang w:val="en-US"/>
        </w:rPr>
      </w:pPr>
      <w:r w:rsidRPr="00FF4611">
        <w:rPr>
          <w:rFonts w:cstheme="minorHAnsi"/>
          <w:lang w:val="en-US"/>
        </w:rPr>
        <w:t xml:space="preserve">Zaimov, Kosta. 1971. </w:t>
      </w:r>
      <w:r>
        <w:rPr>
          <w:rFonts w:cstheme="minorHAnsi"/>
          <w:i/>
          <w:lang w:val="en-US"/>
        </w:rPr>
        <w:t>Psihopatologiy</w:t>
      </w:r>
      <w:r w:rsidRPr="00FF4611">
        <w:rPr>
          <w:rFonts w:cstheme="minorHAnsi"/>
          <w:i/>
          <w:lang w:val="en-US"/>
        </w:rPr>
        <w:t xml:space="preserve">a. Kurs </w:t>
      </w:r>
      <w:r>
        <w:rPr>
          <w:rFonts w:cstheme="minorHAnsi"/>
          <w:i/>
          <w:lang w:val="en-US"/>
        </w:rPr>
        <w:t>lekcii za studenti po psihologiy</w:t>
      </w:r>
      <w:r w:rsidRPr="00FF4611">
        <w:rPr>
          <w:rFonts w:cstheme="minorHAnsi"/>
          <w:i/>
          <w:lang w:val="en-US"/>
        </w:rPr>
        <w:t>a</w:t>
      </w:r>
      <w:r>
        <w:rPr>
          <w:rFonts w:cstheme="minorHAnsi"/>
          <w:lang w:val="en-US"/>
        </w:rPr>
        <w:t xml:space="preserve"> [</w:t>
      </w:r>
      <w:r w:rsidRPr="00FF4611">
        <w:rPr>
          <w:rFonts w:cstheme="minorHAnsi"/>
          <w:lang w:val="en-US"/>
        </w:rPr>
        <w:t>Psychopatology. L</w:t>
      </w:r>
      <w:r>
        <w:rPr>
          <w:rFonts w:cstheme="minorHAnsi"/>
          <w:lang w:val="en-US"/>
        </w:rPr>
        <w:t>ectures for Students in Psychology]</w:t>
      </w:r>
      <w:r w:rsidRPr="00FF4611">
        <w:rPr>
          <w:rFonts w:cstheme="minorHAnsi"/>
          <w:lang w:val="en-US"/>
        </w:rPr>
        <w:t>. Sofia: Medicina i Fizkultura.</w:t>
      </w:r>
    </w:p>
    <w:p w:rsidR="00A04593" w:rsidRDefault="00A04593" w:rsidP="00E5563D">
      <w:pPr>
        <w:jc w:val="both"/>
        <w:rPr>
          <w:rFonts w:cstheme="minorHAnsi"/>
          <w:bCs/>
          <w:color w:val="231F20"/>
        </w:rPr>
      </w:pPr>
      <w:r w:rsidRPr="00FF4611">
        <w:rPr>
          <w:rFonts w:cstheme="minorHAnsi"/>
          <w:color w:val="231F20"/>
        </w:rPr>
        <w:lastRenderedPageBreak/>
        <w:t>Zaviršek</w:t>
      </w:r>
      <w:r w:rsidRPr="00FF4611">
        <w:rPr>
          <w:rFonts w:cstheme="minorHAnsi"/>
          <w:color w:val="231F20"/>
          <w:lang w:val="en-US"/>
        </w:rPr>
        <w:t xml:space="preserve">, </w:t>
      </w:r>
      <w:r w:rsidRPr="00FF4611">
        <w:rPr>
          <w:rFonts w:cstheme="minorHAnsi"/>
          <w:color w:val="231F20"/>
        </w:rPr>
        <w:t>Darja</w:t>
      </w:r>
      <w:r w:rsidRPr="00FF4611">
        <w:rPr>
          <w:rFonts w:cstheme="minorHAnsi"/>
          <w:color w:val="231F20"/>
          <w:lang w:val="en-US"/>
        </w:rPr>
        <w:t xml:space="preserve">, and </w:t>
      </w:r>
      <w:r w:rsidRPr="00FF4611">
        <w:rPr>
          <w:rFonts w:cstheme="minorHAnsi"/>
          <w:color w:val="231F20"/>
        </w:rPr>
        <w:t>Petra Videmšek</w:t>
      </w:r>
      <w:r w:rsidRPr="00FF4611">
        <w:rPr>
          <w:rFonts w:cstheme="minorHAnsi"/>
          <w:color w:val="231F20"/>
          <w:lang w:val="en-US"/>
        </w:rPr>
        <w:t>. 2009. “</w:t>
      </w:r>
      <w:r w:rsidRPr="00FF4611">
        <w:rPr>
          <w:rFonts w:cstheme="minorHAnsi"/>
          <w:color w:val="000000"/>
        </w:rPr>
        <w:t xml:space="preserve">Service </w:t>
      </w:r>
      <w:r w:rsidRPr="00FF4611">
        <w:rPr>
          <w:rFonts w:cstheme="minorHAnsi"/>
          <w:color w:val="000000"/>
          <w:lang w:val="en-US"/>
        </w:rPr>
        <w:t>U</w:t>
      </w:r>
      <w:r w:rsidRPr="00FF4611">
        <w:rPr>
          <w:rFonts w:cstheme="minorHAnsi"/>
          <w:color w:val="000000"/>
        </w:rPr>
        <w:t xml:space="preserve">sers </w:t>
      </w:r>
      <w:r w:rsidRPr="00FF4611">
        <w:rPr>
          <w:rFonts w:cstheme="minorHAnsi"/>
          <w:color w:val="000000"/>
          <w:lang w:val="en-US"/>
        </w:rPr>
        <w:t>I</w:t>
      </w:r>
      <w:r w:rsidRPr="00FF4611">
        <w:rPr>
          <w:rFonts w:cstheme="minorHAnsi"/>
          <w:color w:val="000000"/>
        </w:rPr>
        <w:t xml:space="preserve">nvolvement in </w:t>
      </w:r>
      <w:r w:rsidRPr="00FF4611">
        <w:rPr>
          <w:rFonts w:cstheme="minorHAnsi"/>
          <w:color w:val="000000"/>
          <w:lang w:val="en-US"/>
        </w:rPr>
        <w:t>R</w:t>
      </w:r>
      <w:r w:rsidRPr="00FF4611">
        <w:rPr>
          <w:rFonts w:cstheme="minorHAnsi"/>
          <w:color w:val="000000"/>
        </w:rPr>
        <w:t xml:space="preserve">esearch and </w:t>
      </w:r>
      <w:r w:rsidRPr="00FF4611">
        <w:rPr>
          <w:rFonts w:cstheme="minorHAnsi"/>
          <w:color w:val="000000"/>
          <w:lang w:val="en-US"/>
        </w:rPr>
        <w:t>R</w:t>
      </w:r>
      <w:r w:rsidRPr="00FF4611">
        <w:rPr>
          <w:rFonts w:cstheme="minorHAnsi"/>
          <w:color w:val="000000"/>
        </w:rPr>
        <w:t xml:space="preserve">eaching: Is </w:t>
      </w:r>
      <w:r w:rsidRPr="00FF4611">
        <w:rPr>
          <w:rFonts w:cstheme="minorHAnsi"/>
          <w:color w:val="000000"/>
          <w:lang w:val="en-US"/>
        </w:rPr>
        <w:t>T</w:t>
      </w:r>
      <w:r w:rsidRPr="00FF4611">
        <w:rPr>
          <w:rFonts w:cstheme="minorHAnsi"/>
          <w:color w:val="000000"/>
        </w:rPr>
        <w:t xml:space="preserve">here a </w:t>
      </w:r>
      <w:r w:rsidRPr="00FF4611">
        <w:rPr>
          <w:rFonts w:cstheme="minorHAnsi"/>
          <w:color w:val="000000"/>
          <w:lang w:val="en-US"/>
        </w:rPr>
        <w:t>P</w:t>
      </w:r>
      <w:r w:rsidRPr="00FF4611">
        <w:rPr>
          <w:rFonts w:cstheme="minorHAnsi"/>
          <w:color w:val="000000"/>
        </w:rPr>
        <w:t xml:space="preserve">lace for </w:t>
      </w:r>
      <w:r w:rsidRPr="00FF4611">
        <w:rPr>
          <w:rFonts w:cstheme="minorHAnsi"/>
          <w:color w:val="000000"/>
          <w:lang w:val="en-US"/>
        </w:rPr>
        <w:t>I</w:t>
      </w:r>
      <w:r w:rsidRPr="00FF4611">
        <w:rPr>
          <w:rFonts w:cstheme="minorHAnsi"/>
          <w:color w:val="000000"/>
        </w:rPr>
        <w:t>t in</w:t>
      </w:r>
      <w:r w:rsidRPr="00FF4611">
        <w:rPr>
          <w:rFonts w:cstheme="minorHAnsi"/>
          <w:color w:val="000000"/>
          <w:lang w:val="en-US"/>
        </w:rPr>
        <w:t xml:space="preserve"> </w:t>
      </w:r>
      <w:r w:rsidRPr="00FF4611">
        <w:rPr>
          <w:rFonts w:cstheme="minorHAnsi"/>
          <w:color w:val="000000"/>
        </w:rPr>
        <w:t xml:space="preserve">Eastern European </w:t>
      </w:r>
      <w:r w:rsidRPr="00FF4611">
        <w:rPr>
          <w:rFonts w:cstheme="minorHAnsi"/>
          <w:color w:val="000000"/>
          <w:lang w:val="en-US"/>
        </w:rPr>
        <w:t>S</w:t>
      </w:r>
      <w:r w:rsidRPr="00FF4611">
        <w:rPr>
          <w:rFonts w:cstheme="minorHAnsi"/>
          <w:color w:val="000000"/>
        </w:rPr>
        <w:t xml:space="preserve">ocial </w:t>
      </w:r>
      <w:r w:rsidRPr="00FF4611">
        <w:rPr>
          <w:rFonts w:cstheme="minorHAnsi"/>
          <w:color w:val="000000"/>
          <w:lang w:val="en-US"/>
        </w:rPr>
        <w:t>W</w:t>
      </w:r>
      <w:r w:rsidRPr="00FF4611">
        <w:rPr>
          <w:rFonts w:cstheme="minorHAnsi"/>
          <w:color w:val="000000"/>
        </w:rPr>
        <w:t>ork</w:t>
      </w:r>
      <w:r w:rsidRPr="00FF4611">
        <w:rPr>
          <w:rFonts w:cstheme="minorHAnsi"/>
          <w:color w:val="000000"/>
          <w:lang w:val="en-US"/>
        </w:rPr>
        <w:t xml:space="preserve">.” </w:t>
      </w:r>
      <w:r w:rsidRPr="00FF4611">
        <w:rPr>
          <w:rFonts w:cstheme="minorHAnsi"/>
          <w:bCs/>
          <w:i/>
        </w:rPr>
        <w:t xml:space="preserve">Ljetopis socijalnog rada </w:t>
      </w:r>
      <w:r w:rsidRPr="00FF4611">
        <w:rPr>
          <w:rFonts w:cstheme="minorHAnsi"/>
          <w:bCs/>
          <w:color w:val="231F20"/>
        </w:rPr>
        <w:t xml:space="preserve">16 </w:t>
      </w:r>
      <w:r w:rsidRPr="00FF4611">
        <w:rPr>
          <w:rFonts w:cstheme="minorHAnsi"/>
          <w:bCs/>
          <w:color w:val="231F20"/>
          <w:lang w:val="en-US"/>
        </w:rPr>
        <w:t>(2):</w:t>
      </w:r>
      <w:r w:rsidRPr="00FF4611">
        <w:rPr>
          <w:rFonts w:cstheme="minorHAnsi"/>
          <w:bCs/>
          <w:color w:val="231F20"/>
        </w:rPr>
        <w:t>207</w:t>
      </w:r>
      <w:r w:rsidRPr="00FF4611">
        <w:rPr>
          <w:rFonts w:eastAsia="Calibri" w:cstheme="minorHAnsi"/>
          <w:color w:val="000000"/>
        </w:rPr>
        <w:t>–</w:t>
      </w:r>
      <w:r w:rsidRPr="00FF4611">
        <w:rPr>
          <w:rFonts w:cstheme="minorHAnsi"/>
          <w:bCs/>
          <w:color w:val="231F20"/>
        </w:rPr>
        <w:t>22</w:t>
      </w:r>
      <w:r w:rsidRPr="00FF4611">
        <w:rPr>
          <w:rFonts w:cstheme="minorHAnsi"/>
          <w:bCs/>
          <w:color w:val="231F20"/>
          <w:lang w:val="en-US"/>
        </w:rPr>
        <w:t>.</w:t>
      </w:r>
    </w:p>
    <w:p w:rsidR="00947CED" w:rsidRDefault="00947CED" w:rsidP="00E5563D">
      <w:pPr>
        <w:jc w:val="both"/>
        <w:rPr>
          <w:rFonts w:cstheme="minorHAnsi"/>
          <w:bCs/>
          <w:color w:val="231F20"/>
        </w:rPr>
      </w:pPr>
    </w:p>
    <w:p w:rsidR="00947CED" w:rsidRDefault="00947CED" w:rsidP="00E5563D">
      <w:pPr>
        <w:jc w:val="both"/>
        <w:rPr>
          <w:rFonts w:cstheme="minorHAnsi"/>
          <w:bCs/>
          <w:color w:val="231F20"/>
        </w:rPr>
      </w:pPr>
    </w:p>
    <w:p w:rsidR="00947CED" w:rsidRPr="00631B5E" w:rsidRDefault="00947CED" w:rsidP="00E5563D">
      <w:pPr>
        <w:jc w:val="both"/>
        <w:rPr>
          <w:rFonts w:cstheme="minorHAnsi"/>
          <w:b/>
          <w:bCs/>
          <w:color w:val="231F20"/>
          <w:lang w:val="en-US"/>
        </w:rPr>
      </w:pPr>
      <w:r w:rsidRPr="00631B5E">
        <w:rPr>
          <w:rFonts w:cstheme="minorHAnsi"/>
          <w:b/>
          <w:bCs/>
          <w:color w:val="231F20"/>
          <w:lang w:val="en-US"/>
        </w:rPr>
        <w:t>Abstract</w:t>
      </w:r>
    </w:p>
    <w:p w:rsidR="00D75161" w:rsidRPr="00D75161" w:rsidRDefault="00D75161" w:rsidP="00D75161">
      <w:pPr>
        <w:jc w:val="both"/>
        <w:rPr>
          <w:rFonts w:cstheme="minorHAnsi"/>
          <w:bCs/>
          <w:color w:val="231F20"/>
          <w:lang w:val="en-US"/>
        </w:rPr>
      </w:pPr>
      <w:r>
        <w:rPr>
          <w:rFonts w:cstheme="minorHAnsi"/>
          <w:lang w:val="en-US"/>
        </w:rPr>
        <w:t>T</w:t>
      </w:r>
      <w:r w:rsidRPr="00693802">
        <w:rPr>
          <w:rFonts w:cstheme="minorHAnsi"/>
          <w:lang w:val="en-US"/>
        </w:rPr>
        <w:t xml:space="preserve">he </w:t>
      </w:r>
      <w:r>
        <w:rPr>
          <w:rFonts w:cstheme="minorHAnsi"/>
          <w:lang w:val="en-US"/>
        </w:rPr>
        <w:t>article</w:t>
      </w:r>
      <w:r w:rsidRPr="00693802">
        <w:rPr>
          <w:rFonts w:cstheme="minorHAnsi"/>
          <w:lang w:val="en-US"/>
        </w:rPr>
        <w:t xml:space="preserve"> </w:t>
      </w:r>
      <w:r>
        <w:rPr>
          <w:rFonts w:cstheme="minorHAnsi"/>
          <w:lang w:val="en-US"/>
        </w:rPr>
        <w:t xml:space="preserve">explores the specificities of mental health and disability advocacy and activism </w:t>
      </w:r>
      <w:r w:rsidRPr="00693802">
        <w:rPr>
          <w:rFonts w:cstheme="minorHAnsi"/>
          <w:lang w:val="en-US"/>
        </w:rPr>
        <w:t>in Bulgaria</w:t>
      </w:r>
      <w:r>
        <w:rPr>
          <w:rFonts w:cstheme="minorHAnsi"/>
          <w:lang w:val="en-US"/>
        </w:rPr>
        <w:t xml:space="preserve"> in a historical perspective. Through grounded analysis of three cases it demonstrates </w:t>
      </w:r>
      <w:r>
        <w:rPr>
          <w:rFonts w:eastAsia="Times New Roman" w:cstheme="minorHAnsi"/>
          <w:color w:val="070707"/>
          <w:lang w:val="en-US" w:eastAsia="bg-BG"/>
        </w:rPr>
        <w:t>the persistenc</w:t>
      </w:r>
      <w:r>
        <w:rPr>
          <w:rFonts w:eastAsia="Times New Roman" w:cstheme="minorHAnsi"/>
          <w:color w:val="070707"/>
          <w:lang w:eastAsia="bg-BG"/>
        </w:rPr>
        <w:t>е</w:t>
      </w:r>
      <w:r>
        <w:rPr>
          <w:rFonts w:eastAsia="Times New Roman" w:cstheme="minorHAnsi"/>
          <w:color w:val="070707"/>
          <w:lang w:val="en-US" w:eastAsia="bg-BG"/>
        </w:rPr>
        <w:t xml:space="preserve"> of what I call spokespersonship model that emerged in the late socialism, was further entrenched during the transition and </w:t>
      </w:r>
      <w:r w:rsidR="0043702A">
        <w:rPr>
          <w:rFonts w:eastAsia="Times New Roman" w:cstheme="minorHAnsi"/>
          <w:color w:val="070707"/>
          <w:lang w:val="en-US" w:eastAsia="bg-BG"/>
        </w:rPr>
        <w:t xml:space="preserve">still </w:t>
      </w:r>
      <w:r>
        <w:rPr>
          <w:rFonts w:eastAsia="Times New Roman" w:cstheme="minorHAnsi"/>
          <w:color w:val="070707"/>
          <w:lang w:val="en-US" w:eastAsia="bg-BG"/>
        </w:rPr>
        <w:t xml:space="preserve">persists today, relying on some of the most progressive disability paradigms (as those embodied in UNCPRD for example). I </w:t>
      </w:r>
      <w:r w:rsidRPr="00693802">
        <w:rPr>
          <w:rFonts w:cstheme="minorHAnsi"/>
          <w:lang w:val="en-US"/>
        </w:rPr>
        <w:t xml:space="preserve">argue that </w:t>
      </w:r>
      <w:r>
        <w:rPr>
          <w:rFonts w:cstheme="minorHAnsi"/>
          <w:lang w:val="en-US"/>
        </w:rPr>
        <w:t>the inexorable paternalism and the absence of mental health activism are at least partially linked to this specific way in which mental health advocacy emerged and developed locally.</w:t>
      </w:r>
    </w:p>
    <w:p w:rsidR="00947CED" w:rsidRDefault="00D75161" w:rsidP="00E5563D">
      <w:pPr>
        <w:jc w:val="both"/>
        <w:rPr>
          <w:rFonts w:cstheme="minorHAnsi"/>
          <w:bCs/>
          <w:color w:val="231F20"/>
          <w:lang w:val="en-US"/>
        </w:rPr>
      </w:pPr>
      <w:r w:rsidRPr="00631B5E">
        <w:rPr>
          <w:rFonts w:cstheme="minorHAnsi"/>
          <w:b/>
          <w:bCs/>
          <w:color w:val="231F20"/>
          <w:lang w:val="en-US"/>
        </w:rPr>
        <w:t>Kew words</w:t>
      </w:r>
      <w:r w:rsidR="0043702A">
        <w:rPr>
          <w:rFonts w:cstheme="minorHAnsi"/>
          <w:bCs/>
          <w:color w:val="231F20"/>
          <w:lang w:val="en-US"/>
        </w:rPr>
        <w:t>:</w:t>
      </w:r>
      <w:r>
        <w:rPr>
          <w:rFonts w:cstheme="minorHAnsi"/>
          <w:bCs/>
          <w:color w:val="231F20"/>
          <w:lang w:val="en-US"/>
        </w:rPr>
        <w:t xml:space="preserve"> </w:t>
      </w:r>
      <w:r w:rsidR="0043702A">
        <w:rPr>
          <w:rFonts w:cstheme="minorHAnsi"/>
          <w:bCs/>
          <w:color w:val="231F20"/>
          <w:lang w:val="en-US"/>
        </w:rPr>
        <w:t>spokespersonship, mental health advocacy, paternalism, socialism, transition</w:t>
      </w:r>
    </w:p>
    <w:p w:rsidR="00947CED" w:rsidRDefault="00947CED" w:rsidP="00E5563D">
      <w:pPr>
        <w:jc w:val="both"/>
        <w:rPr>
          <w:rFonts w:cstheme="minorHAnsi"/>
          <w:bCs/>
          <w:color w:val="231F20"/>
          <w:lang w:val="en-US"/>
        </w:rPr>
      </w:pPr>
    </w:p>
    <w:p w:rsidR="00D75161" w:rsidRDefault="00947CED" w:rsidP="00D75161">
      <w:pPr>
        <w:jc w:val="both"/>
        <w:rPr>
          <w:rFonts w:cstheme="minorHAnsi"/>
          <w:bCs/>
          <w:color w:val="231F20"/>
          <w:lang w:val="en-US"/>
        </w:rPr>
      </w:pPr>
      <w:r w:rsidRPr="00D75161">
        <w:rPr>
          <w:rFonts w:cstheme="minorHAnsi"/>
          <w:b/>
          <w:bCs/>
          <w:color w:val="231F20"/>
          <w:lang w:val="en-US"/>
        </w:rPr>
        <w:t>Wordcount</w:t>
      </w:r>
      <w:r w:rsidR="00D75161">
        <w:rPr>
          <w:rFonts w:cstheme="minorHAnsi"/>
          <w:bCs/>
          <w:color w:val="231F20"/>
          <w:lang w:val="en-US"/>
        </w:rPr>
        <w:t xml:space="preserve"> </w:t>
      </w:r>
      <w:r>
        <w:rPr>
          <w:rFonts w:cstheme="minorHAnsi"/>
          <w:bCs/>
          <w:color w:val="231F20"/>
          <w:lang w:val="en-US"/>
        </w:rPr>
        <w:t>Article 9</w:t>
      </w:r>
      <w:r w:rsidR="00D75161">
        <w:rPr>
          <w:rFonts w:cstheme="minorHAnsi"/>
          <w:bCs/>
          <w:color w:val="231F20"/>
          <w:lang w:val="en-US"/>
        </w:rPr>
        <w:t> </w:t>
      </w:r>
      <w:r>
        <w:rPr>
          <w:rFonts w:cstheme="minorHAnsi"/>
          <w:bCs/>
          <w:color w:val="231F20"/>
          <w:lang w:val="en-US"/>
        </w:rPr>
        <w:t>202</w:t>
      </w:r>
      <w:r w:rsidR="00D75161">
        <w:rPr>
          <w:rFonts w:cstheme="minorHAnsi"/>
          <w:bCs/>
          <w:color w:val="231F20"/>
          <w:lang w:val="en-US"/>
        </w:rPr>
        <w:t>; Abstract 9</w:t>
      </w:r>
      <w:r w:rsidR="0043702A">
        <w:rPr>
          <w:rFonts w:cstheme="minorHAnsi"/>
          <w:bCs/>
          <w:color w:val="231F20"/>
          <w:lang w:val="en-US"/>
        </w:rPr>
        <w:t>8</w:t>
      </w:r>
    </w:p>
    <w:p w:rsidR="00947CED" w:rsidRPr="00947CED" w:rsidRDefault="00947CED" w:rsidP="00E5563D">
      <w:pPr>
        <w:jc w:val="both"/>
        <w:rPr>
          <w:rFonts w:cstheme="minorHAnsi"/>
          <w:bCs/>
          <w:color w:val="231F20"/>
          <w:lang w:val="en-US"/>
        </w:rPr>
      </w:pPr>
    </w:p>
    <w:sectPr w:rsidR="00947CED" w:rsidRPr="00947CED" w:rsidSect="00851F26">
      <w:footerReference w:type="default" r:id="rId1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315" w:rsidRDefault="00FA6315" w:rsidP="009E2517">
      <w:pPr>
        <w:spacing w:after="0" w:line="240" w:lineRule="auto"/>
      </w:pPr>
      <w:r>
        <w:separator/>
      </w:r>
    </w:p>
  </w:endnote>
  <w:endnote w:type="continuationSeparator" w:id="0">
    <w:p w:rsidR="00FA6315" w:rsidRDefault="00FA6315" w:rsidP="009E2517">
      <w:pPr>
        <w:spacing w:after="0" w:line="240" w:lineRule="auto"/>
      </w:pPr>
      <w:r>
        <w:continuationSeparator/>
      </w:r>
    </w:p>
  </w:endnote>
  <w:endnote w:id="1">
    <w:p w:rsidR="00631B5E" w:rsidRPr="00DF0B51" w:rsidRDefault="00631B5E">
      <w:pPr>
        <w:pStyle w:val="EndnoteText"/>
        <w:rPr>
          <w:lang w:val="en-US"/>
        </w:rPr>
      </w:pPr>
      <w:r>
        <w:rPr>
          <w:rStyle w:val="EndnoteReference"/>
        </w:rPr>
        <w:endnoteRef/>
      </w:r>
      <w:r>
        <w:t xml:space="preserve"> </w:t>
      </w:r>
      <w:r w:rsidRPr="00DF0B51">
        <w:t>There is one prominent exception – the writer and journalist Vladimir Svintila, who published a book about his involuntary treatment in a psychiatric hospital during socialism (Svintila 1992). His critique and resistance, however, are directed not against the psychiatric power as such, but against the political and ideological reality in late socialist Bulgaria and the abuse of psychiatry.</w:t>
      </w:r>
    </w:p>
  </w:endnote>
  <w:endnote w:id="2">
    <w:p w:rsidR="00631B5E" w:rsidRPr="00BA5312" w:rsidRDefault="00631B5E" w:rsidP="00364932">
      <w:pPr>
        <w:spacing w:line="240" w:lineRule="auto"/>
        <w:jc w:val="both"/>
        <w:rPr>
          <w:sz w:val="20"/>
          <w:szCs w:val="20"/>
        </w:rPr>
      </w:pPr>
      <w:r w:rsidRPr="00BA5312">
        <w:rPr>
          <w:rStyle w:val="a"/>
          <w:sz w:val="20"/>
          <w:szCs w:val="20"/>
        </w:rPr>
        <w:endnoteRef/>
      </w:r>
      <w:r w:rsidRPr="00BA5312">
        <w:rPr>
          <w:sz w:val="20"/>
          <w:szCs w:val="20"/>
        </w:rPr>
        <w:t xml:space="preserve"> </w:t>
      </w:r>
      <w:r w:rsidRPr="00244A09">
        <w:rPr>
          <w:sz w:val="20"/>
          <w:szCs w:val="20"/>
        </w:rPr>
        <w:t>A clear example of the lack not only of uniform use but also of awareness that the different labels ensue from and signify fundamentally different paradigms in the attitudes and policies towards mental distress, is the text of the National Strategy for Mental Health of Citizens of Bulgaria 2020 – 2030, which uses the terms “users ”,“ mentally ill ”and most frequently “patients”. Apparently, the authors are oblivious to the fact that the way they name the user</w:t>
      </w:r>
      <w:r>
        <w:rPr>
          <w:sz w:val="20"/>
          <w:szCs w:val="20"/>
        </w:rPr>
        <w:t>s of their services is telling.</w:t>
      </w:r>
      <w:r w:rsidRPr="00112BB9">
        <w:rPr>
          <w:rFonts w:ascii="Times New Roman" w:hAnsi="Times New Roman" w:cs="Times New Roman"/>
          <w:sz w:val="24"/>
          <w:szCs w:val="24"/>
          <w:lang w:val="en-US"/>
        </w:rPr>
        <w:t xml:space="preserve"> </w:t>
      </w:r>
    </w:p>
  </w:endnote>
  <w:endnote w:id="3">
    <w:p w:rsidR="00631B5E" w:rsidRDefault="00631B5E" w:rsidP="00364932">
      <w:pPr>
        <w:pStyle w:val="EndnoteText"/>
        <w:jc w:val="both"/>
      </w:pPr>
      <w:r>
        <w:rPr>
          <w:shd w:val="clear" w:color="auto" w:fill="FFFFFF"/>
          <w:vertAlign w:val="superscript"/>
          <w:lang w:val="en-US"/>
        </w:rPr>
        <w:endnoteRef/>
      </w:r>
      <w:r>
        <w:t xml:space="preserve"> One prominent Bulgarian psychiatrist from the socialist generation relatively recently used this term publicly – see, for example, </w:t>
      </w:r>
      <w:hyperlink r:id="rId1" w:tgtFrame="_blank" w:history="1">
        <w:r>
          <w:rPr>
            <w:rStyle w:val="Hyperlink"/>
            <w:color w:val="4A6EE0"/>
          </w:rPr>
          <w:t>http://old.duma.bg/2007/0707/190707/obshtestvo/ob-4.html</w:t>
        </w:r>
      </w:hyperlink>
      <w:r>
        <w:t>.</w:t>
      </w:r>
    </w:p>
  </w:endnote>
  <w:endnote w:id="4">
    <w:p w:rsidR="00631B5E" w:rsidRPr="00B337C2" w:rsidRDefault="00631B5E">
      <w:pPr>
        <w:pStyle w:val="EndnoteText"/>
        <w:rPr>
          <w:lang w:val="en-US"/>
        </w:rPr>
      </w:pPr>
      <w:r>
        <w:rPr>
          <w:rStyle w:val="EndnoteReference"/>
        </w:rPr>
        <w:endnoteRef/>
      </w:r>
      <w:r>
        <w:t xml:space="preserve"> </w:t>
      </w:r>
      <w:r>
        <w:rPr>
          <w:lang w:val="en-US"/>
        </w:rPr>
        <w:t xml:space="preserve">For more detailed account of their strategic action and claims-making </w:t>
      </w:r>
      <w:r w:rsidRPr="003A5B10">
        <w:rPr>
          <w:lang w:val="en-US"/>
        </w:rPr>
        <w:t>conceptualise</w:t>
      </w:r>
      <w:r>
        <w:rPr>
          <w:lang w:val="en-US"/>
        </w:rPr>
        <w:t>d</w:t>
      </w:r>
      <w:r w:rsidRPr="003A5B10">
        <w:rPr>
          <w:lang w:val="en-US"/>
        </w:rPr>
        <w:t xml:space="preserve"> as a self-advocacy conducted by an interest group</w:t>
      </w:r>
      <w:r>
        <w:rPr>
          <w:lang w:val="en-US"/>
        </w:rPr>
        <w:t xml:space="preserve"> (Walker 1991; Binderkrantz and Krøyer 2012), see (Dimitrova 2021)</w:t>
      </w:r>
    </w:p>
  </w:endnote>
  <w:endnote w:id="5">
    <w:p w:rsidR="00631B5E" w:rsidRPr="005A1962" w:rsidRDefault="00631B5E" w:rsidP="005A1962">
      <w:pPr>
        <w:pStyle w:val="Heading2"/>
        <w:shd w:val="clear" w:color="auto" w:fill="FFFFFF"/>
        <w:spacing w:before="0" w:beforeAutospacing="0" w:after="199" w:afterAutospacing="0"/>
        <w:jc w:val="both"/>
        <w:rPr>
          <w:rFonts w:asciiTheme="minorHAnsi" w:hAnsiTheme="minorHAnsi" w:cstheme="minorHAnsi"/>
          <w:b w:val="0"/>
          <w:sz w:val="20"/>
          <w:szCs w:val="20"/>
          <w:lang w:val="en-US"/>
        </w:rPr>
      </w:pPr>
      <w:r w:rsidRPr="005A1962">
        <w:rPr>
          <w:rStyle w:val="EndnoteReference"/>
          <w:rFonts w:asciiTheme="minorHAnsi" w:hAnsiTheme="minorHAnsi" w:cstheme="minorHAnsi"/>
          <w:b w:val="0"/>
          <w:sz w:val="20"/>
          <w:szCs w:val="20"/>
        </w:rPr>
        <w:endnoteRef/>
      </w:r>
      <w:r w:rsidRPr="005A1962">
        <w:rPr>
          <w:rFonts w:asciiTheme="minorHAnsi" w:hAnsiTheme="minorHAnsi" w:cstheme="minorHAnsi"/>
          <w:b w:val="0"/>
          <w:sz w:val="20"/>
          <w:szCs w:val="20"/>
        </w:rPr>
        <w:t xml:space="preserve"> GIP, </w:t>
      </w:r>
      <w:r w:rsidRPr="005A1962">
        <w:rPr>
          <w:rFonts w:asciiTheme="minorHAnsi" w:hAnsiTheme="minorHAnsi" w:cstheme="minorHAnsi"/>
          <w:b w:val="0"/>
          <w:bCs w:val="0"/>
          <w:color w:val="12235A"/>
          <w:sz w:val="20"/>
          <w:szCs w:val="20"/>
        </w:rPr>
        <w:t>History of Human Rights in Mental Health-FGIP</w:t>
      </w:r>
      <w:r w:rsidRPr="005A1962">
        <w:rPr>
          <w:rFonts w:asciiTheme="minorHAnsi" w:hAnsiTheme="minorHAnsi" w:cstheme="minorHAnsi"/>
          <w:b w:val="0"/>
          <w:bCs w:val="0"/>
          <w:color w:val="12235A"/>
          <w:sz w:val="20"/>
          <w:szCs w:val="20"/>
          <w:lang w:val="en-US"/>
        </w:rPr>
        <w:t xml:space="preserve">, </w:t>
      </w:r>
      <w:r w:rsidRPr="005A1962">
        <w:rPr>
          <w:rFonts w:asciiTheme="minorHAnsi" w:hAnsiTheme="minorHAnsi" w:cstheme="minorHAnsi"/>
          <w:b w:val="0"/>
          <w:sz w:val="20"/>
          <w:szCs w:val="20"/>
        </w:rPr>
        <w:t>https://www.gip-global.org/organization/history-of-the-organization/</w:t>
      </w:r>
    </w:p>
  </w:endnote>
  <w:endnote w:id="6">
    <w:p w:rsidR="00631B5E" w:rsidRPr="00E22BCB" w:rsidRDefault="00631B5E" w:rsidP="00E25F3A">
      <w:pPr>
        <w:pStyle w:val="EndnoteText"/>
        <w:jc w:val="both"/>
        <w:rPr>
          <w:lang w:val="bg-BG"/>
        </w:rPr>
      </w:pPr>
      <w:r>
        <w:rPr>
          <w:rStyle w:val="EndnoteReference"/>
        </w:rPr>
        <w:endnoteRef/>
      </w:r>
      <w:r>
        <w:t xml:space="preserve"> It must be noted that there have been different initiatives to dismantle the human rights violations against people with intellectual disabilities and mental health problems in Bulgaria as for example the investigation, conducted by the Bulgarian Helsinki Committee, followed by a detailed report </w:t>
      </w:r>
      <w:r>
        <w:rPr>
          <w:lang w:val="en-US"/>
        </w:rPr>
        <w:t>(Bulgarian Helsinki Committee</w:t>
      </w:r>
      <w:r>
        <w:rPr>
          <w:lang w:val="bg-BG"/>
        </w:rPr>
        <w:t xml:space="preserve"> 2004</w:t>
      </w:r>
      <w:r>
        <w:rPr>
          <w:lang w:val="en-US"/>
        </w:rPr>
        <w:t xml:space="preserve">). But they are part of the broader post-socialist project for human rights protection (and accordingly, for revealing their abuses under socialism) and in this sense, were instances of </w:t>
      </w:r>
      <w:r w:rsidRPr="0006746C">
        <w:rPr>
          <w:lang w:val="en-US"/>
        </w:rPr>
        <w:t>human rights activism</w:t>
      </w:r>
      <w:r>
        <w:rPr>
          <w:lang w:val="en-US"/>
        </w:rPr>
        <w:t xml:space="preserve"> and not of disability or mental health activism per se.</w:t>
      </w:r>
    </w:p>
  </w:endnote>
  <w:endnote w:id="7">
    <w:p w:rsidR="00631B5E" w:rsidRPr="005B71C1" w:rsidRDefault="00631B5E">
      <w:pPr>
        <w:pStyle w:val="EndnoteText"/>
        <w:rPr>
          <w:lang w:val="en-US"/>
        </w:rPr>
      </w:pPr>
      <w:r>
        <w:rPr>
          <w:rStyle w:val="EndnoteReference"/>
        </w:rPr>
        <w:endnoteRef/>
      </w:r>
      <w:r>
        <w:t xml:space="preserve"> See </w:t>
      </w:r>
      <w:r w:rsidRPr="00722A73">
        <w:rPr>
          <w:rFonts w:cstheme="minorHAnsi"/>
          <w:lang w:val="en-US"/>
        </w:rPr>
        <w:t>https://www.bornready.me/</w:t>
      </w:r>
      <w:r>
        <w:rPr>
          <w:rFonts w:cstheme="minorHAnsi"/>
          <w:lang w:val="en-US"/>
        </w:rPr>
        <w:t>.</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Neue">
    <w:altName w:val="Arial"/>
    <w:charset w:val="00"/>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abon-Roman">
    <w:altName w:val="Times New Roman"/>
    <w:panose1 w:val="00000000000000000000"/>
    <w:charset w:val="00"/>
    <w:family w:val="roman"/>
    <w:notTrueType/>
    <w:pitch w:val="default"/>
    <w:sig w:usb0="00000003" w:usb1="00000000" w:usb2="00000000" w:usb3="00000000" w:csb0="00000001" w:csb1="00000000"/>
  </w:font>
  <w:font w:name="Sabon-Italic">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953793"/>
      <w:docPartObj>
        <w:docPartGallery w:val="Page Numbers (Bottom of Page)"/>
        <w:docPartUnique/>
      </w:docPartObj>
    </w:sdtPr>
    <w:sdtContent>
      <w:p w:rsidR="0035325B" w:rsidRDefault="00413848">
        <w:pPr>
          <w:pStyle w:val="Footer"/>
        </w:pPr>
        <w:fldSimple w:instr=" PAGE   \* MERGEFORMAT ">
          <w:r w:rsidR="003D51F5">
            <w:rPr>
              <w:noProof/>
            </w:rPr>
            <w:t>1</w:t>
          </w:r>
        </w:fldSimple>
      </w:p>
    </w:sdtContent>
  </w:sdt>
  <w:p w:rsidR="0035325B" w:rsidRDefault="003532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315" w:rsidRDefault="00FA6315" w:rsidP="009E2517">
      <w:pPr>
        <w:spacing w:after="0" w:line="240" w:lineRule="auto"/>
      </w:pPr>
      <w:r>
        <w:separator/>
      </w:r>
    </w:p>
  </w:footnote>
  <w:footnote w:type="continuationSeparator" w:id="0">
    <w:p w:rsidR="00FA6315" w:rsidRDefault="00FA6315" w:rsidP="009E25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A624E"/>
    <w:multiLevelType w:val="multilevel"/>
    <w:tmpl w:val="1142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441A74"/>
    <w:multiLevelType w:val="multilevel"/>
    <w:tmpl w:val="2286C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197330"/>
    <w:multiLevelType w:val="multilevel"/>
    <w:tmpl w:val="9AA8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EC7672"/>
    <w:multiLevelType w:val="multilevel"/>
    <w:tmpl w:val="B052B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9E2517"/>
    <w:rsid w:val="0000315B"/>
    <w:rsid w:val="00004928"/>
    <w:rsid w:val="000111BA"/>
    <w:rsid w:val="0002514A"/>
    <w:rsid w:val="00025733"/>
    <w:rsid w:val="000313FB"/>
    <w:rsid w:val="00033746"/>
    <w:rsid w:val="00033DD1"/>
    <w:rsid w:val="0003718D"/>
    <w:rsid w:val="00042C36"/>
    <w:rsid w:val="000450B4"/>
    <w:rsid w:val="0004658F"/>
    <w:rsid w:val="00046B8E"/>
    <w:rsid w:val="00046E9E"/>
    <w:rsid w:val="00061426"/>
    <w:rsid w:val="00061B47"/>
    <w:rsid w:val="00065DD9"/>
    <w:rsid w:val="0006746C"/>
    <w:rsid w:val="00074B4D"/>
    <w:rsid w:val="00075822"/>
    <w:rsid w:val="0009086F"/>
    <w:rsid w:val="00091474"/>
    <w:rsid w:val="000A3B30"/>
    <w:rsid w:val="000A418E"/>
    <w:rsid w:val="000B107C"/>
    <w:rsid w:val="000C78C1"/>
    <w:rsid w:val="000D55A5"/>
    <w:rsid w:val="000E011C"/>
    <w:rsid w:val="000E3066"/>
    <w:rsid w:val="000E38D6"/>
    <w:rsid w:val="000E5787"/>
    <w:rsid w:val="000F2199"/>
    <w:rsid w:val="000F3880"/>
    <w:rsid w:val="000F5BA7"/>
    <w:rsid w:val="000F6574"/>
    <w:rsid w:val="000F7310"/>
    <w:rsid w:val="001003BE"/>
    <w:rsid w:val="00100997"/>
    <w:rsid w:val="00102E7B"/>
    <w:rsid w:val="001049B2"/>
    <w:rsid w:val="00110250"/>
    <w:rsid w:val="00112BB9"/>
    <w:rsid w:val="00112F34"/>
    <w:rsid w:val="00116A6F"/>
    <w:rsid w:val="00124F93"/>
    <w:rsid w:val="0013116C"/>
    <w:rsid w:val="00131E29"/>
    <w:rsid w:val="0013773A"/>
    <w:rsid w:val="00141FA1"/>
    <w:rsid w:val="0014579C"/>
    <w:rsid w:val="00145FB1"/>
    <w:rsid w:val="001476C1"/>
    <w:rsid w:val="00153351"/>
    <w:rsid w:val="00155459"/>
    <w:rsid w:val="00171BD9"/>
    <w:rsid w:val="00190344"/>
    <w:rsid w:val="00190A14"/>
    <w:rsid w:val="00195E0E"/>
    <w:rsid w:val="00196879"/>
    <w:rsid w:val="001A4B8F"/>
    <w:rsid w:val="001A72D8"/>
    <w:rsid w:val="001B6209"/>
    <w:rsid w:val="001B6B46"/>
    <w:rsid w:val="001C3FE9"/>
    <w:rsid w:val="001C5754"/>
    <w:rsid w:val="001C59CB"/>
    <w:rsid w:val="001D22DB"/>
    <w:rsid w:val="001E0047"/>
    <w:rsid w:val="001E0596"/>
    <w:rsid w:val="001E06D5"/>
    <w:rsid w:val="001F47C1"/>
    <w:rsid w:val="001F5711"/>
    <w:rsid w:val="00200250"/>
    <w:rsid w:val="002011B7"/>
    <w:rsid w:val="00214434"/>
    <w:rsid w:val="0021677B"/>
    <w:rsid w:val="002252D1"/>
    <w:rsid w:val="00234040"/>
    <w:rsid w:val="00235EDA"/>
    <w:rsid w:val="002448F3"/>
    <w:rsid w:val="00244A09"/>
    <w:rsid w:val="00252BE4"/>
    <w:rsid w:val="002530E4"/>
    <w:rsid w:val="00254C1D"/>
    <w:rsid w:val="0026156D"/>
    <w:rsid w:val="002672A0"/>
    <w:rsid w:val="00274DA7"/>
    <w:rsid w:val="00275A59"/>
    <w:rsid w:val="0027733F"/>
    <w:rsid w:val="00287F10"/>
    <w:rsid w:val="002900CD"/>
    <w:rsid w:val="0029777C"/>
    <w:rsid w:val="002A0C4E"/>
    <w:rsid w:val="002A3E50"/>
    <w:rsid w:val="002B4888"/>
    <w:rsid w:val="002B7946"/>
    <w:rsid w:val="002C4CAA"/>
    <w:rsid w:val="002C5380"/>
    <w:rsid w:val="002C7A02"/>
    <w:rsid w:val="002D135E"/>
    <w:rsid w:val="002D2EB6"/>
    <w:rsid w:val="002F019E"/>
    <w:rsid w:val="002F091A"/>
    <w:rsid w:val="002F5197"/>
    <w:rsid w:val="002F7FD4"/>
    <w:rsid w:val="003020C8"/>
    <w:rsid w:val="0031108B"/>
    <w:rsid w:val="0031405C"/>
    <w:rsid w:val="00314501"/>
    <w:rsid w:val="00317880"/>
    <w:rsid w:val="00317A23"/>
    <w:rsid w:val="00320658"/>
    <w:rsid w:val="003276B8"/>
    <w:rsid w:val="003311D5"/>
    <w:rsid w:val="00331FCD"/>
    <w:rsid w:val="003323A2"/>
    <w:rsid w:val="00344D3E"/>
    <w:rsid w:val="00345DDF"/>
    <w:rsid w:val="00350C60"/>
    <w:rsid w:val="003514A5"/>
    <w:rsid w:val="0035325B"/>
    <w:rsid w:val="00354BE5"/>
    <w:rsid w:val="00355510"/>
    <w:rsid w:val="00357781"/>
    <w:rsid w:val="00361E84"/>
    <w:rsid w:val="00364932"/>
    <w:rsid w:val="003718F0"/>
    <w:rsid w:val="003806B0"/>
    <w:rsid w:val="00384066"/>
    <w:rsid w:val="00387CF5"/>
    <w:rsid w:val="00393BBD"/>
    <w:rsid w:val="00394419"/>
    <w:rsid w:val="003970C4"/>
    <w:rsid w:val="003A12FA"/>
    <w:rsid w:val="003A1E61"/>
    <w:rsid w:val="003A5B10"/>
    <w:rsid w:val="003C158F"/>
    <w:rsid w:val="003C3DF2"/>
    <w:rsid w:val="003C6F08"/>
    <w:rsid w:val="003D51F5"/>
    <w:rsid w:val="003D7680"/>
    <w:rsid w:val="003E0BEE"/>
    <w:rsid w:val="003E643C"/>
    <w:rsid w:val="003F1A4D"/>
    <w:rsid w:val="003F6B67"/>
    <w:rsid w:val="00400CCD"/>
    <w:rsid w:val="00401781"/>
    <w:rsid w:val="004022AE"/>
    <w:rsid w:val="00403CFF"/>
    <w:rsid w:val="0040421A"/>
    <w:rsid w:val="0040676F"/>
    <w:rsid w:val="004134BE"/>
    <w:rsid w:val="00413848"/>
    <w:rsid w:val="00413C3D"/>
    <w:rsid w:val="004175EB"/>
    <w:rsid w:val="0042098C"/>
    <w:rsid w:val="00423969"/>
    <w:rsid w:val="00425A7D"/>
    <w:rsid w:val="00426F7D"/>
    <w:rsid w:val="00427D86"/>
    <w:rsid w:val="00430500"/>
    <w:rsid w:val="0043702A"/>
    <w:rsid w:val="00466823"/>
    <w:rsid w:val="00474643"/>
    <w:rsid w:val="004832A5"/>
    <w:rsid w:val="00493CB7"/>
    <w:rsid w:val="004B35E4"/>
    <w:rsid w:val="004B49E7"/>
    <w:rsid w:val="004C0BF8"/>
    <w:rsid w:val="004C190D"/>
    <w:rsid w:val="004C6CAF"/>
    <w:rsid w:val="004D1CF9"/>
    <w:rsid w:val="004D59E2"/>
    <w:rsid w:val="004E165A"/>
    <w:rsid w:val="004F0D40"/>
    <w:rsid w:val="004F1F11"/>
    <w:rsid w:val="004F2709"/>
    <w:rsid w:val="004F4E94"/>
    <w:rsid w:val="004F6B7E"/>
    <w:rsid w:val="00505437"/>
    <w:rsid w:val="00506BB7"/>
    <w:rsid w:val="005118E9"/>
    <w:rsid w:val="00514A9F"/>
    <w:rsid w:val="00522CAB"/>
    <w:rsid w:val="00524C5D"/>
    <w:rsid w:val="00531C8E"/>
    <w:rsid w:val="0054442E"/>
    <w:rsid w:val="00545407"/>
    <w:rsid w:val="0054725C"/>
    <w:rsid w:val="00553FBD"/>
    <w:rsid w:val="005573E8"/>
    <w:rsid w:val="00565992"/>
    <w:rsid w:val="0056786F"/>
    <w:rsid w:val="005708F8"/>
    <w:rsid w:val="00571C5D"/>
    <w:rsid w:val="005757CF"/>
    <w:rsid w:val="00575841"/>
    <w:rsid w:val="00580970"/>
    <w:rsid w:val="00584CE1"/>
    <w:rsid w:val="00591A68"/>
    <w:rsid w:val="005948BD"/>
    <w:rsid w:val="005A1962"/>
    <w:rsid w:val="005A23A4"/>
    <w:rsid w:val="005A31BF"/>
    <w:rsid w:val="005A76A1"/>
    <w:rsid w:val="005B1A3A"/>
    <w:rsid w:val="005B35DD"/>
    <w:rsid w:val="005B71C1"/>
    <w:rsid w:val="005C05DE"/>
    <w:rsid w:val="005C1141"/>
    <w:rsid w:val="005C1B5E"/>
    <w:rsid w:val="005D3BAB"/>
    <w:rsid w:val="005D65BE"/>
    <w:rsid w:val="005D6A67"/>
    <w:rsid w:val="005D7B3A"/>
    <w:rsid w:val="005E3161"/>
    <w:rsid w:val="005E3B39"/>
    <w:rsid w:val="005F54D0"/>
    <w:rsid w:val="005F7557"/>
    <w:rsid w:val="00604C22"/>
    <w:rsid w:val="00614BCC"/>
    <w:rsid w:val="0061756E"/>
    <w:rsid w:val="006175CD"/>
    <w:rsid w:val="00617EAC"/>
    <w:rsid w:val="00623E73"/>
    <w:rsid w:val="00626284"/>
    <w:rsid w:val="006313DA"/>
    <w:rsid w:val="00631B5E"/>
    <w:rsid w:val="00632EAB"/>
    <w:rsid w:val="00635145"/>
    <w:rsid w:val="0063717B"/>
    <w:rsid w:val="0064052D"/>
    <w:rsid w:val="00644874"/>
    <w:rsid w:val="00647805"/>
    <w:rsid w:val="00647F7A"/>
    <w:rsid w:val="0065638F"/>
    <w:rsid w:val="00662D9A"/>
    <w:rsid w:val="00666F64"/>
    <w:rsid w:val="00667AF8"/>
    <w:rsid w:val="00671400"/>
    <w:rsid w:val="00675200"/>
    <w:rsid w:val="006864A5"/>
    <w:rsid w:val="006908B8"/>
    <w:rsid w:val="00693802"/>
    <w:rsid w:val="00694D67"/>
    <w:rsid w:val="006A0288"/>
    <w:rsid w:val="006A0DD7"/>
    <w:rsid w:val="006A26CF"/>
    <w:rsid w:val="006A5E79"/>
    <w:rsid w:val="006B1DEB"/>
    <w:rsid w:val="006B235F"/>
    <w:rsid w:val="006B4A03"/>
    <w:rsid w:val="006B611C"/>
    <w:rsid w:val="006C3956"/>
    <w:rsid w:val="006D261E"/>
    <w:rsid w:val="006E305D"/>
    <w:rsid w:val="006F0D4E"/>
    <w:rsid w:val="006F0DCD"/>
    <w:rsid w:val="00700018"/>
    <w:rsid w:val="00703BD7"/>
    <w:rsid w:val="00711496"/>
    <w:rsid w:val="00711C6A"/>
    <w:rsid w:val="0071683A"/>
    <w:rsid w:val="00722A73"/>
    <w:rsid w:val="00725C09"/>
    <w:rsid w:val="00727840"/>
    <w:rsid w:val="00731918"/>
    <w:rsid w:val="00736987"/>
    <w:rsid w:val="00742613"/>
    <w:rsid w:val="00746C22"/>
    <w:rsid w:val="00761E51"/>
    <w:rsid w:val="007636BF"/>
    <w:rsid w:val="00763EA4"/>
    <w:rsid w:val="00776581"/>
    <w:rsid w:val="00776E06"/>
    <w:rsid w:val="007774B6"/>
    <w:rsid w:val="00784446"/>
    <w:rsid w:val="00794453"/>
    <w:rsid w:val="007A473E"/>
    <w:rsid w:val="007B04A7"/>
    <w:rsid w:val="007B0CDB"/>
    <w:rsid w:val="007B1F2A"/>
    <w:rsid w:val="007B544F"/>
    <w:rsid w:val="007B5EFA"/>
    <w:rsid w:val="007D3692"/>
    <w:rsid w:val="007D49D1"/>
    <w:rsid w:val="007D6830"/>
    <w:rsid w:val="007D73DC"/>
    <w:rsid w:val="007E613C"/>
    <w:rsid w:val="007E7D6A"/>
    <w:rsid w:val="007F42CE"/>
    <w:rsid w:val="007F4799"/>
    <w:rsid w:val="007F6495"/>
    <w:rsid w:val="007F6E59"/>
    <w:rsid w:val="007F7351"/>
    <w:rsid w:val="00806358"/>
    <w:rsid w:val="00807B9D"/>
    <w:rsid w:val="0081388A"/>
    <w:rsid w:val="00822B87"/>
    <w:rsid w:val="0082314B"/>
    <w:rsid w:val="0082546C"/>
    <w:rsid w:val="00833CD4"/>
    <w:rsid w:val="008340ED"/>
    <w:rsid w:val="00834516"/>
    <w:rsid w:val="008357C9"/>
    <w:rsid w:val="008401D1"/>
    <w:rsid w:val="008478AB"/>
    <w:rsid w:val="0085035E"/>
    <w:rsid w:val="00851F26"/>
    <w:rsid w:val="00853D00"/>
    <w:rsid w:val="00854D13"/>
    <w:rsid w:val="008575BE"/>
    <w:rsid w:val="00857D9B"/>
    <w:rsid w:val="00857DBD"/>
    <w:rsid w:val="00860B25"/>
    <w:rsid w:val="00860F90"/>
    <w:rsid w:val="00865905"/>
    <w:rsid w:val="008766E9"/>
    <w:rsid w:val="00887C22"/>
    <w:rsid w:val="008A0468"/>
    <w:rsid w:val="008A4C81"/>
    <w:rsid w:val="008B1895"/>
    <w:rsid w:val="008B34C3"/>
    <w:rsid w:val="008B7641"/>
    <w:rsid w:val="008C2ACD"/>
    <w:rsid w:val="008D40BA"/>
    <w:rsid w:val="008D5638"/>
    <w:rsid w:val="008E0BC3"/>
    <w:rsid w:val="008E1A2D"/>
    <w:rsid w:val="008E20A1"/>
    <w:rsid w:val="008E3B42"/>
    <w:rsid w:val="008F7080"/>
    <w:rsid w:val="0090148A"/>
    <w:rsid w:val="00901CEE"/>
    <w:rsid w:val="00904A9A"/>
    <w:rsid w:val="009126C7"/>
    <w:rsid w:val="00913195"/>
    <w:rsid w:val="009140CC"/>
    <w:rsid w:val="00915D3D"/>
    <w:rsid w:val="00926FC9"/>
    <w:rsid w:val="00931F19"/>
    <w:rsid w:val="009362D4"/>
    <w:rsid w:val="009458B7"/>
    <w:rsid w:val="00947CED"/>
    <w:rsid w:val="00950786"/>
    <w:rsid w:val="009510BD"/>
    <w:rsid w:val="00952D57"/>
    <w:rsid w:val="0095559C"/>
    <w:rsid w:val="0095560C"/>
    <w:rsid w:val="00961FBC"/>
    <w:rsid w:val="0096204F"/>
    <w:rsid w:val="0096276E"/>
    <w:rsid w:val="00965DBE"/>
    <w:rsid w:val="009745D6"/>
    <w:rsid w:val="0097467F"/>
    <w:rsid w:val="00985842"/>
    <w:rsid w:val="00992779"/>
    <w:rsid w:val="0099642A"/>
    <w:rsid w:val="009A5CBC"/>
    <w:rsid w:val="009A70E3"/>
    <w:rsid w:val="009A72A6"/>
    <w:rsid w:val="009A7C7D"/>
    <w:rsid w:val="009B0F8B"/>
    <w:rsid w:val="009B1326"/>
    <w:rsid w:val="009B5C2E"/>
    <w:rsid w:val="009B746F"/>
    <w:rsid w:val="009C3AC3"/>
    <w:rsid w:val="009C5E3A"/>
    <w:rsid w:val="009C5E95"/>
    <w:rsid w:val="009D360F"/>
    <w:rsid w:val="009E2517"/>
    <w:rsid w:val="009F06E3"/>
    <w:rsid w:val="009F1AE5"/>
    <w:rsid w:val="009F68E0"/>
    <w:rsid w:val="00A04593"/>
    <w:rsid w:val="00A045B9"/>
    <w:rsid w:val="00A12D36"/>
    <w:rsid w:val="00A16EA9"/>
    <w:rsid w:val="00A20897"/>
    <w:rsid w:val="00A21C3B"/>
    <w:rsid w:val="00A22D37"/>
    <w:rsid w:val="00A34468"/>
    <w:rsid w:val="00A3571B"/>
    <w:rsid w:val="00A43E12"/>
    <w:rsid w:val="00A45C02"/>
    <w:rsid w:val="00A63B53"/>
    <w:rsid w:val="00A83B2B"/>
    <w:rsid w:val="00A84609"/>
    <w:rsid w:val="00A8585D"/>
    <w:rsid w:val="00A91854"/>
    <w:rsid w:val="00A923F4"/>
    <w:rsid w:val="00AA1BAC"/>
    <w:rsid w:val="00AA26E5"/>
    <w:rsid w:val="00AA4A39"/>
    <w:rsid w:val="00AA6014"/>
    <w:rsid w:val="00AB033D"/>
    <w:rsid w:val="00AB1FCC"/>
    <w:rsid w:val="00AB3730"/>
    <w:rsid w:val="00AB6393"/>
    <w:rsid w:val="00AD1F6F"/>
    <w:rsid w:val="00AE66D4"/>
    <w:rsid w:val="00AF10B7"/>
    <w:rsid w:val="00AF1498"/>
    <w:rsid w:val="00AF3227"/>
    <w:rsid w:val="00AF592F"/>
    <w:rsid w:val="00B00A03"/>
    <w:rsid w:val="00B038D1"/>
    <w:rsid w:val="00B07614"/>
    <w:rsid w:val="00B0789D"/>
    <w:rsid w:val="00B106F8"/>
    <w:rsid w:val="00B12ED8"/>
    <w:rsid w:val="00B1592A"/>
    <w:rsid w:val="00B218A1"/>
    <w:rsid w:val="00B23389"/>
    <w:rsid w:val="00B2503E"/>
    <w:rsid w:val="00B25A76"/>
    <w:rsid w:val="00B25ABC"/>
    <w:rsid w:val="00B2617A"/>
    <w:rsid w:val="00B309B1"/>
    <w:rsid w:val="00B337C2"/>
    <w:rsid w:val="00B34BBD"/>
    <w:rsid w:val="00B42E6F"/>
    <w:rsid w:val="00B4324B"/>
    <w:rsid w:val="00B44D36"/>
    <w:rsid w:val="00B463FF"/>
    <w:rsid w:val="00B532C4"/>
    <w:rsid w:val="00B61208"/>
    <w:rsid w:val="00B6151B"/>
    <w:rsid w:val="00B6595F"/>
    <w:rsid w:val="00B660D3"/>
    <w:rsid w:val="00B7522B"/>
    <w:rsid w:val="00B8169B"/>
    <w:rsid w:val="00B833BC"/>
    <w:rsid w:val="00B87114"/>
    <w:rsid w:val="00B9448E"/>
    <w:rsid w:val="00B96D0E"/>
    <w:rsid w:val="00B97C82"/>
    <w:rsid w:val="00BA0466"/>
    <w:rsid w:val="00BA68B3"/>
    <w:rsid w:val="00BB4A09"/>
    <w:rsid w:val="00BB784C"/>
    <w:rsid w:val="00BC0267"/>
    <w:rsid w:val="00BC7870"/>
    <w:rsid w:val="00BD1853"/>
    <w:rsid w:val="00BD3D53"/>
    <w:rsid w:val="00BD44A4"/>
    <w:rsid w:val="00BD4FF0"/>
    <w:rsid w:val="00BE3E87"/>
    <w:rsid w:val="00BE6BE2"/>
    <w:rsid w:val="00C0098C"/>
    <w:rsid w:val="00C010E0"/>
    <w:rsid w:val="00C01E71"/>
    <w:rsid w:val="00C03E59"/>
    <w:rsid w:val="00C03F90"/>
    <w:rsid w:val="00C04566"/>
    <w:rsid w:val="00C04F6A"/>
    <w:rsid w:val="00C07A3D"/>
    <w:rsid w:val="00C1266D"/>
    <w:rsid w:val="00C15FBA"/>
    <w:rsid w:val="00C26988"/>
    <w:rsid w:val="00C27CAF"/>
    <w:rsid w:val="00C34627"/>
    <w:rsid w:val="00C36391"/>
    <w:rsid w:val="00C426C6"/>
    <w:rsid w:val="00C432FD"/>
    <w:rsid w:val="00C5052A"/>
    <w:rsid w:val="00C51520"/>
    <w:rsid w:val="00C5307B"/>
    <w:rsid w:val="00C567CB"/>
    <w:rsid w:val="00C63C2C"/>
    <w:rsid w:val="00C70536"/>
    <w:rsid w:val="00C7245E"/>
    <w:rsid w:val="00C74F29"/>
    <w:rsid w:val="00C80E50"/>
    <w:rsid w:val="00C86586"/>
    <w:rsid w:val="00C905BA"/>
    <w:rsid w:val="00C9229F"/>
    <w:rsid w:val="00C94E83"/>
    <w:rsid w:val="00CA1119"/>
    <w:rsid w:val="00CB197F"/>
    <w:rsid w:val="00CC33CB"/>
    <w:rsid w:val="00CC44FB"/>
    <w:rsid w:val="00CC4891"/>
    <w:rsid w:val="00CD6B15"/>
    <w:rsid w:val="00CE47C1"/>
    <w:rsid w:val="00CF1D39"/>
    <w:rsid w:val="00CF3D4F"/>
    <w:rsid w:val="00CF5D5F"/>
    <w:rsid w:val="00D00190"/>
    <w:rsid w:val="00D1069E"/>
    <w:rsid w:val="00D11FC9"/>
    <w:rsid w:val="00D14C3B"/>
    <w:rsid w:val="00D1586E"/>
    <w:rsid w:val="00D15C18"/>
    <w:rsid w:val="00D172F6"/>
    <w:rsid w:val="00D216A9"/>
    <w:rsid w:val="00D30B44"/>
    <w:rsid w:val="00D324A5"/>
    <w:rsid w:val="00D33CDD"/>
    <w:rsid w:val="00D341C7"/>
    <w:rsid w:val="00D35C56"/>
    <w:rsid w:val="00D46728"/>
    <w:rsid w:val="00D50D20"/>
    <w:rsid w:val="00D51963"/>
    <w:rsid w:val="00D51A91"/>
    <w:rsid w:val="00D51A9F"/>
    <w:rsid w:val="00D520C7"/>
    <w:rsid w:val="00D524E1"/>
    <w:rsid w:val="00D539FD"/>
    <w:rsid w:val="00D551C1"/>
    <w:rsid w:val="00D5572C"/>
    <w:rsid w:val="00D57ABD"/>
    <w:rsid w:val="00D61644"/>
    <w:rsid w:val="00D6314B"/>
    <w:rsid w:val="00D64182"/>
    <w:rsid w:val="00D70117"/>
    <w:rsid w:val="00D7133E"/>
    <w:rsid w:val="00D75161"/>
    <w:rsid w:val="00D803FF"/>
    <w:rsid w:val="00D866FD"/>
    <w:rsid w:val="00D871A6"/>
    <w:rsid w:val="00D90787"/>
    <w:rsid w:val="00D92022"/>
    <w:rsid w:val="00D95825"/>
    <w:rsid w:val="00DA176F"/>
    <w:rsid w:val="00DA1AE9"/>
    <w:rsid w:val="00DA3FBC"/>
    <w:rsid w:val="00DA595B"/>
    <w:rsid w:val="00DB1F2C"/>
    <w:rsid w:val="00DB2E52"/>
    <w:rsid w:val="00DC0326"/>
    <w:rsid w:val="00DD0F23"/>
    <w:rsid w:val="00DD2DB8"/>
    <w:rsid w:val="00DD77F3"/>
    <w:rsid w:val="00DE1BE0"/>
    <w:rsid w:val="00DE3D74"/>
    <w:rsid w:val="00DE7AB7"/>
    <w:rsid w:val="00DF0B51"/>
    <w:rsid w:val="00E10004"/>
    <w:rsid w:val="00E132BE"/>
    <w:rsid w:val="00E1352F"/>
    <w:rsid w:val="00E16A9A"/>
    <w:rsid w:val="00E203C7"/>
    <w:rsid w:val="00E22BCB"/>
    <w:rsid w:val="00E25F3A"/>
    <w:rsid w:val="00E2650E"/>
    <w:rsid w:val="00E31A82"/>
    <w:rsid w:val="00E46723"/>
    <w:rsid w:val="00E47245"/>
    <w:rsid w:val="00E5563D"/>
    <w:rsid w:val="00E5605D"/>
    <w:rsid w:val="00E5632F"/>
    <w:rsid w:val="00E62CF9"/>
    <w:rsid w:val="00E644CF"/>
    <w:rsid w:val="00E654A3"/>
    <w:rsid w:val="00E657E1"/>
    <w:rsid w:val="00E704D3"/>
    <w:rsid w:val="00E7056D"/>
    <w:rsid w:val="00E77886"/>
    <w:rsid w:val="00E82A2F"/>
    <w:rsid w:val="00E82CAF"/>
    <w:rsid w:val="00E8404A"/>
    <w:rsid w:val="00E90637"/>
    <w:rsid w:val="00E9523E"/>
    <w:rsid w:val="00EA440A"/>
    <w:rsid w:val="00EB1107"/>
    <w:rsid w:val="00EB5E43"/>
    <w:rsid w:val="00EC1ADA"/>
    <w:rsid w:val="00EC53AC"/>
    <w:rsid w:val="00ED07DB"/>
    <w:rsid w:val="00ED15E1"/>
    <w:rsid w:val="00ED45FA"/>
    <w:rsid w:val="00ED7C73"/>
    <w:rsid w:val="00EE5C4A"/>
    <w:rsid w:val="00EF0F15"/>
    <w:rsid w:val="00EF3965"/>
    <w:rsid w:val="00EF758A"/>
    <w:rsid w:val="00F07EB1"/>
    <w:rsid w:val="00F111B7"/>
    <w:rsid w:val="00F16E62"/>
    <w:rsid w:val="00F22D56"/>
    <w:rsid w:val="00F32C9F"/>
    <w:rsid w:val="00F41DBF"/>
    <w:rsid w:val="00F43628"/>
    <w:rsid w:val="00F51F08"/>
    <w:rsid w:val="00F53840"/>
    <w:rsid w:val="00F62950"/>
    <w:rsid w:val="00F62971"/>
    <w:rsid w:val="00F72DC6"/>
    <w:rsid w:val="00F7515D"/>
    <w:rsid w:val="00F81A09"/>
    <w:rsid w:val="00F854BD"/>
    <w:rsid w:val="00F87312"/>
    <w:rsid w:val="00FA017A"/>
    <w:rsid w:val="00FA125F"/>
    <w:rsid w:val="00FA4F6E"/>
    <w:rsid w:val="00FA6315"/>
    <w:rsid w:val="00FA7CA7"/>
    <w:rsid w:val="00FB148F"/>
    <w:rsid w:val="00FB5EA1"/>
    <w:rsid w:val="00FC3336"/>
    <w:rsid w:val="00FD0C93"/>
    <w:rsid w:val="00FD3736"/>
    <w:rsid w:val="00FE35C3"/>
    <w:rsid w:val="00FF1D7E"/>
    <w:rsid w:val="00FF4611"/>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517"/>
  </w:style>
  <w:style w:type="paragraph" w:styleId="Heading1">
    <w:name w:val="heading 1"/>
    <w:basedOn w:val="Normal"/>
    <w:next w:val="Normal"/>
    <w:link w:val="Heading1Char"/>
    <w:uiPriority w:val="9"/>
    <w:qFormat/>
    <w:rsid w:val="007B04A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313FB"/>
    <w:pPr>
      <w:spacing w:before="100" w:beforeAutospacing="1" w:after="100" w:afterAutospacing="1" w:line="240" w:lineRule="auto"/>
      <w:outlineLvl w:val="1"/>
    </w:pPr>
    <w:rPr>
      <w:rFonts w:ascii="Times New Roman" w:eastAsia="Times New Roman" w:hAnsi="Times New Roman" w:cs="Times New Roman"/>
      <w:b/>
      <w:bCs/>
      <w:sz w:val="36"/>
      <w:szCs w:val="36"/>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2517"/>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lang w:val="hu-HU" w:eastAsia="hu-HU"/>
    </w:rPr>
  </w:style>
  <w:style w:type="paragraph" w:styleId="FootnoteText">
    <w:name w:val="footnote text"/>
    <w:link w:val="FootnoteTextChar"/>
    <w:rsid w:val="009E2517"/>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lang w:val="hu-HU" w:eastAsia="hu-HU"/>
    </w:rPr>
  </w:style>
  <w:style w:type="character" w:customStyle="1" w:styleId="FootnoteTextChar">
    <w:name w:val="Footnote Text Char"/>
    <w:basedOn w:val="DefaultParagraphFont"/>
    <w:link w:val="FootnoteText"/>
    <w:rsid w:val="009E2517"/>
    <w:rPr>
      <w:rFonts w:ascii="Calibri" w:eastAsia="Calibri" w:hAnsi="Calibri" w:cs="Calibri"/>
      <w:color w:val="000000"/>
      <w:sz w:val="20"/>
      <w:szCs w:val="20"/>
      <w:u w:color="000000"/>
      <w:bdr w:val="nil"/>
      <w:lang w:val="hu-HU" w:eastAsia="hu-HU"/>
    </w:rPr>
  </w:style>
  <w:style w:type="paragraph" w:styleId="BalloonText">
    <w:name w:val="Balloon Text"/>
    <w:basedOn w:val="Normal"/>
    <w:link w:val="BalloonTextChar"/>
    <w:uiPriority w:val="99"/>
    <w:semiHidden/>
    <w:unhideWhenUsed/>
    <w:rsid w:val="009E25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517"/>
    <w:rPr>
      <w:rFonts w:ascii="Tahoma" w:hAnsi="Tahoma" w:cs="Tahoma"/>
      <w:sz w:val="16"/>
      <w:szCs w:val="16"/>
    </w:rPr>
  </w:style>
  <w:style w:type="paragraph" w:customStyle="1" w:styleId="Body">
    <w:name w:val="Body"/>
    <w:rsid w:val="00AA26E5"/>
    <w:pPr>
      <w:pBdr>
        <w:top w:val="nil"/>
        <w:left w:val="nil"/>
        <w:bottom w:val="nil"/>
        <w:right w:val="nil"/>
        <w:between w:val="nil"/>
        <w:bar w:val="nil"/>
      </w:pBdr>
    </w:pPr>
    <w:rPr>
      <w:rFonts w:ascii="Calibri" w:eastAsia="Arial Unicode MS" w:hAnsi="Calibri" w:cs="Arial Unicode MS"/>
      <w:color w:val="000000"/>
      <w:u w:color="000000"/>
      <w:bdr w:val="nil"/>
      <w:lang w:val="en-US" w:eastAsia="hu-HU"/>
    </w:rPr>
  </w:style>
  <w:style w:type="paragraph" w:styleId="CommentText">
    <w:name w:val="annotation text"/>
    <w:basedOn w:val="Normal"/>
    <w:link w:val="CommentTextChar"/>
    <w:uiPriority w:val="99"/>
    <w:semiHidden/>
    <w:unhideWhenUsed/>
    <w:rsid w:val="00AA26E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CommentTextChar">
    <w:name w:val="Comment Text Char"/>
    <w:basedOn w:val="DefaultParagraphFont"/>
    <w:link w:val="CommentText"/>
    <w:uiPriority w:val="99"/>
    <w:semiHidden/>
    <w:rsid w:val="00AA26E5"/>
    <w:rPr>
      <w:rFonts w:ascii="Times New Roman" w:eastAsia="Arial Unicode MS" w:hAnsi="Times New Roman" w:cs="Times New Roman"/>
      <w:sz w:val="20"/>
      <w:szCs w:val="20"/>
      <w:bdr w:val="nil"/>
      <w:lang w:val="en-US"/>
    </w:rPr>
  </w:style>
  <w:style w:type="character" w:styleId="CommentReference">
    <w:name w:val="annotation reference"/>
    <w:basedOn w:val="DefaultParagraphFont"/>
    <w:uiPriority w:val="99"/>
    <w:semiHidden/>
    <w:unhideWhenUsed/>
    <w:rsid w:val="00AA26E5"/>
    <w:rPr>
      <w:sz w:val="16"/>
      <w:szCs w:val="16"/>
    </w:rPr>
  </w:style>
  <w:style w:type="character" w:customStyle="1" w:styleId="Hyperlink1">
    <w:name w:val="Hyperlink.1"/>
    <w:basedOn w:val="DefaultParagraphFont"/>
    <w:rsid w:val="00D64182"/>
    <w:rPr>
      <w:outline w:val="0"/>
      <w:color w:val="0000FF"/>
      <w:u w:val="none" w:color="0000FF"/>
    </w:rPr>
  </w:style>
  <w:style w:type="character" w:customStyle="1" w:styleId="Hyperlink0">
    <w:name w:val="Hyperlink.0"/>
    <w:basedOn w:val="DefaultParagraphFont"/>
    <w:rsid w:val="00350C60"/>
    <w:rPr>
      <w:outline w:val="0"/>
      <w:color w:val="000000"/>
      <w:u w:val="none" w:color="000000"/>
    </w:rPr>
  </w:style>
  <w:style w:type="character" w:customStyle="1" w:styleId="fontstyle01">
    <w:name w:val="fontstyle01"/>
    <w:basedOn w:val="DefaultParagraphFont"/>
    <w:qFormat/>
    <w:rsid w:val="0085035E"/>
    <w:rPr>
      <w:rFonts w:ascii="Sabon-Roman" w:hAnsi="Sabon-Roman" w:hint="default"/>
      <w:b w:val="0"/>
      <w:bCs w:val="0"/>
      <w:i w:val="0"/>
      <w:iCs w:val="0"/>
      <w:color w:val="242021"/>
      <w:sz w:val="20"/>
      <w:szCs w:val="20"/>
    </w:rPr>
  </w:style>
  <w:style w:type="character" w:customStyle="1" w:styleId="fontstyle21">
    <w:name w:val="fontstyle21"/>
    <w:basedOn w:val="DefaultParagraphFont"/>
    <w:rsid w:val="00834516"/>
    <w:rPr>
      <w:rFonts w:ascii="Sabon-Italic" w:hAnsi="Sabon-Italic" w:hint="default"/>
      <w:b w:val="0"/>
      <w:bCs w:val="0"/>
      <w:i/>
      <w:iCs/>
      <w:color w:val="242021"/>
      <w:sz w:val="20"/>
      <w:szCs w:val="20"/>
    </w:rPr>
  </w:style>
  <w:style w:type="paragraph" w:styleId="EndnoteText">
    <w:name w:val="endnote text"/>
    <w:link w:val="EndnoteTextChar"/>
    <w:rsid w:val="00BE6BE2"/>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lang w:val="hu-HU" w:eastAsia="hu-HU"/>
    </w:rPr>
  </w:style>
  <w:style w:type="character" w:customStyle="1" w:styleId="EndnoteTextChar">
    <w:name w:val="Endnote Text Char"/>
    <w:basedOn w:val="DefaultParagraphFont"/>
    <w:link w:val="EndnoteText"/>
    <w:rsid w:val="00BE6BE2"/>
    <w:rPr>
      <w:rFonts w:ascii="Calibri" w:eastAsia="Calibri" w:hAnsi="Calibri" w:cs="Calibri"/>
      <w:color w:val="000000"/>
      <w:sz w:val="20"/>
      <w:szCs w:val="20"/>
      <w:u w:color="000000"/>
      <w:bdr w:val="nil"/>
      <w:lang w:val="hu-HU" w:eastAsia="hu-HU"/>
    </w:rPr>
  </w:style>
  <w:style w:type="character" w:styleId="FootnoteReference">
    <w:name w:val="footnote reference"/>
    <w:rsid w:val="00E9523E"/>
    <w:rPr>
      <w:vertAlign w:val="superscript"/>
    </w:rPr>
  </w:style>
  <w:style w:type="character" w:customStyle="1" w:styleId="FootnoteReference1">
    <w:name w:val="Footnote Reference1"/>
    <w:basedOn w:val="DefaultParagraphFont"/>
    <w:rsid w:val="008D40BA"/>
    <w:rPr>
      <w:vertAlign w:val="superscript"/>
    </w:rPr>
  </w:style>
  <w:style w:type="character" w:customStyle="1" w:styleId="a">
    <w:name w:val="Знаци за бележки под линия"/>
    <w:rsid w:val="008D40BA"/>
  </w:style>
  <w:style w:type="character" w:customStyle="1" w:styleId="Hyperlink2">
    <w:name w:val="Hyperlink.2"/>
    <w:basedOn w:val="DefaultParagraphFont"/>
    <w:rsid w:val="008A0468"/>
    <w:rPr>
      <w:outline w:val="0"/>
      <w:color w:val="000000"/>
      <w:u w:val="none" w:color="000000"/>
      <w:shd w:val="clear" w:color="auto" w:fill="FFFFFF"/>
      <w:lang w:val="en-US"/>
    </w:rPr>
  </w:style>
  <w:style w:type="character" w:customStyle="1" w:styleId="Hyperlink3">
    <w:name w:val="Hyperlink.3"/>
    <w:basedOn w:val="DefaultParagraphFont"/>
    <w:rsid w:val="008A0468"/>
    <w:rPr>
      <w:rFonts w:ascii="Calibri" w:eastAsia="Calibri" w:hAnsi="Calibri" w:cs="Calibri"/>
      <w:i/>
      <w:iCs/>
      <w:outline w:val="0"/>
      <w:color w:val="000000"/>
      <w:u w:val="none" w:color="000000"/>
      <w:shd w:val="clear" w:color="auto" w:fill="FFFFFF"/>
      <w:lang w:val="en-US"/>
    </w:rPr>
  </w:style>
  <w:style w:type="character" w:customStyle="1" w:styleId="Hyperlink4">
    <w:name w:val="Hyperlink.4"/>
    <w:basedOn w:val="DefaultParagraphFont"/>
    <w:rsid w:val="008A0468"/>
    <w:rPr>
      <w:outline w:val="0"/>
      <w:color w:val="000000"/>
      <w:u w:val="single" w:color="000000"/>
      <w:shd w:val="clear" w:color="auto" w:fill="FFFFFF"/>
      <w:lang w:val="en-US"/>
    </w:rPr>
  </w:style>
  <w:style w:type="character" w:styleId="Hyperlink">
    <w:name w:val="Hyperlink"/>
    <w:basedOn w:val="DefaultParagraphFont"/>
    <w:uiPriority w:val="99"/>
    <w:unhideWhenUsed/>
    <w:rsid w:val="00DF0B51"/>
    <w:rPr>
      <w:color w:val="0000FF"/>
      <w:u w:val="single"/>
    </w:rPr>
  </w:style>
  <w:style w:type="character" w:styleId="Emphasis">
    <w:name w:val="Emphasis"/>
    <w:basedOn w:val="DefaultParagraphFont"/>
    <w:uiPriority w:val="20"/>
    <w:qFormat/>
    <w:rsid w:val="00693802"/>
    <w:rPr>
      <w:i/>
      <w:iCs/>
    </w:rPr>
  </w:style>
  <w:style w:type="paragraph" w:styleId="NormalWeb">
    <w:name w:val="Normal (Web)"/>
    <w:basedOn w:val="Normal"/>
    <w:uiPriority w:val="99"/>
    <w:semiHidden/>
    <w:unhideWhenUsed/>
    <w:rsid w:val="002D2EB6"/>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eading2Char">
    <w:name w:val="Heading 2 Char"/>
    <w:basedOn w:val="DefaultParagraphFont"/>
    <w:link w:val="Heading2"/>
    <w:uiPriority w:val="9"/>
    <w:rsid w:val="000313FB"/>
    <w:rPr>
      <w:rFonts w:ascii="Times New Roman" w:eastAsia="Times New Roman" w:hAnsi="Times New Roman" w:cs="Times New Roman"/>
      <w:b/>
      <w:bCs/>
      <w:sz w:val="36"/>
      <w:szCs w:val="36"/>
      <w:lang w:eastAsia="bg-BG"/>
    </w:rPr>
  </w:style>
  <w:style w:type="character" w:customStyle="1" w:styleId="hlfld-contribauthor">
    <w:name w:val="hlfld-contribauthor"/>
    <w:basedOn w:val="DefaultParagraphFont"/>
    <w:rsid w:val="00B07614"/>
  </w:style>
  <w:style w:type="character" w:customStyle="1" w:styleId="nlmgiven-names">
    <w:name w:val="nlm_given-names"/>
    <w:basedOn w:val="DefaultParagraphFont"/>
    <w:rsid w:val="00B07614"/>
  </w:style>
  <w:style w:type="character" w:customStyle="1" w:styleId="nlmyear">
    <w:name w:val="nlm_year"/>
    <w:basedOn w:val="DefaultParagraphFont"/>
    <w:rsid w:val="00B07614"/>
  </w:style>
  <w:style w:type="character" w:customStyle="1" w:styleId="nlmchapter-title">
    <w:name w:val="nlm_chapter-title"/>
    <w:basedOn w:val="DefaultParagraphFont"/>
    <w:rsid w:val="00B07614"/>
  </w:style>
  <w:style w:type="character" w:customStyle="1" w:styleId="nlmfpage">
    <w:name w:val="nlm_fpage"/>
    <w:basedOn w:val="DefaultParagraphFont"/>
    <w:rsid w:val="00B07614"/>
  </w:style>
  <w:style w:type="character" w:customStyle="1" w:styleId="nlmlpage">
    <w:name w:val="nlm_lpage"/>
    <w:basedOn w:val="DefaultParagraphFont"/>
    <w:rsid w:val="00B07614"/>
  </w:style>
  <w:style w:type="character" w:customStyle="1" w:styleId="nlmpublisher-loc">
    <w:name w:val="nlm_publisher-loc"/>
    <w:basedOn w:val="DefaultParagraphFont"/>
    <w:rsid w:val="00B07614"/>
  </w:style>
  <w:style w:type="character" w:customStyle="1" w:styleId="nlmpublisher-name">
    <w:name w:val="nlm_publisher-name"/>
    <w:basedOn w:val="DefaultParagraphFont"/>
    <w:rsid w:val="00B07614"/>
  </w:style>
  <w:style w:type="character" w:customStyle="1" w:styleId="reflink-block">
    <w:name w:val="reflink-block"/>
    <w:basedOn w:val="DefaultParagraphFont"/>
    <w:rsid w:val="00B07614"/>
  </w:style>
  <w:style w:type="character" w:customStyle="1" w:styleId="nlmarticle-title">
    <w:name w:val="nlm_article-title"/>
    <w:basedOn w:val="DefaultParagraphFont"/>
    <w:rsid w:val="00B07614"/>
  </w:style>
  <w:style w:type="character" w:customStyle="1" w:styleId="nlmpub-id">
    <w:name w:val="nlm_pub-id"/>
    <w:basedOn w:val="DefaultParagraphFont"/>
    <w:rsid w:val="00B07614"/>
  </w:style>
  <w:style w:type="character" w:customStyle="1" w:styleId="c-bibliographic-informationvalue">
    <w:name w:val="c-bibliographic-information__value"/>
    <w:basedOn w:val="DefaultParagraphFont"/>
    <w:rsid w:val="00331FCD"/>
  </w:style>
  <w:style w:type="character" w:customStyle="1" w:styleId="Heading1Char">
    <w:name w:val="Heading 1 Char"/>
    <w:basedOn w:val="DefaultParagraphFont"/>
    <w:link w:val="Heading1"/>
    <w:uiPriority w:val="9"/>
    <w:rsid w:val="007B04A7"/>
    <w:rPr>
      <w:rFonts w:asciiTheme="majorHAnsi" w:eastAsiaTheme="majorEastAsia" w:hAnsiTheme="majorHAnsi" w:cstheme="majorBidi"/>
      <w:b/>
      <w:bCs/>
      <w:color w:val="2F5496" w:themeColor="accent1" w:themeShade="BF"/>
      <w:sz w:val="28"/>
      <w:szCs w:val="28"/>
    </w:rPr>
  </w:style>
  <w:style w:type="character" w:customStyle="1" w:styleId="contribdegrees">
    <w:name w:val="contribdegrees"/>
    <w:basedOn w:val="DefaultParagraphFont"/>
    <w:rsid w:val="007B04A7"/>
  </w:style>
  <w:style w:type="character" w:customStyle="1" w:styleId="publicationcontentepubdate">
    <w:name w:val="publicationcontentepubdate"/>
    <w:basedOn w:val="DefaultParagraphFont"/>
    <w:rsid w:val="00E62CF9"/>
  </w:style>
  <w:style w:type="character" w:customStyle="1" w:styleId="articletype">
    <w:name w:val="articletype"/>
    <w:basedOn w:val="DefaultParagraphFont"/>
    <w:rsid w:val="00E62CF9"/>
  </w:style>
  <w:style w:type="paragraph" w:styleId="Header">
    <w:name w:val="header"/>
    <w:basedOn w:val="Normal"/>
    <w:link w:val="HeaderChar"/>
    <w:uiPriority w:val="99"/>
    <w:semiHidden/>
    <w:unhideWhenUsed/>
    <w:rsid w:val="00196879"/>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196879"/>
  </w:style>
  <w:style w:type="paragraph" w:styleId="Footer">
    <w:name w:val="footer"/>
    <w:basedOn w:val="Normal"/>
    <w:link w:val="FooterChar"/>
    <w:uiPriority w:val="99"/>
    <w:unhideWhenUsed/>
    <w:rsid w:val="00196879"/>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6879"/>
  </w:style>
  <w:style w:type="character" w:styleId="EndnoteReference">
    <w:name w:val="endnote reference"/>
    <w:basedOn w:val="DefaultParagraphFont"/>
    <w:uiPriority w:val="99"/>
    <w:semiHidden/>
    <w:unhideWhenUsed/>
    <w:rsid w:val="00631B5E"/>
    <w:rPr>
      <w:vertAlign w:val="superscript"/>
    </w:rPr>
  </w:style>
</w:styles>
</file>

<file path=word/webSettings.xml><?xml version="1.0" encoding="utf-8"?>
<w:webSettings xmlns:r="http://schemas.openxmlformats.org/officeDocument/2006/relationships" xmlns:w="http://schemas.openxmlformats.org/wordprocessingml/2006/main">
  <w:divs>
    <w:div w:id="73940636">
      <w:bodyDiv w:val="1"/>
      <w:marLeft w:val="0"/>
      <w:marRight w:val="0"/>
      <w:marTop w:val="0"/>
      <w:marBottom w:val="0"/>
      <w:divBdr>
        <w:top w:val="none" w:sz="0" w:space="0" w:color="auto"/>
        <w:left w:val="none" w:sz="0" w:space="0" w:color="auto"/>
        <w:bottom w:val="none" w:sz="0" w:space="0" w:color="auto"/>
        <w:right w:val="none" w:sz="0" w:space="0" w:color="auto"/>
      </w:divBdr>
    </w:div>
    <w:div w:id="253708586">
      <w:bodyDiv w:val="1"/>
      <w:marLeft w:val="0"/>
      <w:marRight w:val="0"/>
      <w:marTop w:val="0"/>
      <w:marBottom w:val="0"/>
      <w:divBdr>
        <w:top w:val="none" w:sz="0" w:space="0" w:color="auto"/>
        <w:left w:val="none" w:sz="0" w:space="0" w:color="auto"/>
        <w:bottom w:val="none" w:sz="0" w:space="0" w:color="auto"/>
        <w:right w:val="none" w:sz="0" w:space="0" w:color="auto"/>
      </w:divBdr>
    </w:div>
    <w:div w:id="424574473">
      <w:bodyDiv w:val="1"/>
      <w:marLeft w:val="0"/>
      <w:marRight w:val="0"/>
      <w:marTop w:val="0"/>
      <w:marBottom w:val="0"/>
      <w:divBdr>
        <w:top w:val="none" w:sz="0" w:space="0" w:color="auto"/>
        <w:left w:val="none" w:sz="0" w:space="0" w:color="auto"/>
        <w:bottom w:val="none" w:sz="0" w:space="0" w:color="auto"/>
        <w:right w:val="none" w:sz="0" w:space="0" w:color="auto"/>
      </w:divBdr>
    </w:div>
    <w:div w:id="462774745">
      <w:bodyDiv w:val="1"/>
      <w:marLeft w:val="0"/>
      <w:marRight w:val="0"/>
      <w:marTop w:val="0"/>
      <w:marBottom w:val="0"/>
      <w:divBdr>
        <w:top w:val="none" w:sz="0" w:space="0" w:color="auto"/>
        <w:left w:val="none" w:sz="0" w:space="0" w:color="auto"/>
        <w:bottom w:val="none" w:sz="0" w:space="0" w:color="auto"/>
        <w:right w:val="none" w:sz="0" w:space="0" w:color="auto"/>
      </w:divBdr>
    </w:div>
    <w:div w:id="620841530">
      <w:bodyDiv w:val="1"/>
      <w:marLeft w:val="0"/>
      <w:marRight w:val="0"/>
      <w:marTop w:val="0"/>
      <w:marBottom w:val="0"/>
      <w:divBdr>
        <w:top w:val="none" w:sz="0" w:space="0" w:color="auto"/>
        <w:left w:val="none" w:sz="0" w:space="0" w:color="auto"/>
        <w:bottom w:val="none" w:sz="0" w:space="0" w:color="auto"/>
        <w:right w:val="none" w:sz="0" w:space="0" w:color="auto"/>
      </w:divBdr>
    </w:div>
    <w:div w:id="658725934">
      <w:bodyDiv w:val="1"/>
      <w:marLeft w:val="0"/>
      <w:marRight w:val="0"/>
      <w:marTop w:val="0"/>
      <w:marBottom w:val="0"/>
      <w:divBdr>
        <w:top w:val="none" w:sz="0" w:space="0" w:color="auto"/>
        <w:left w:val="none" w:sz="0" w:space="0" w:color="auto"/>
        <w:bottom w:val="none" w:sz="0" w:space="0" w:color="auto"/>
        <w:right w:val="none" w:sz="0" w:space="0" w:color="auto"/>
      </w:divBdr>
    </w:div>
    <w:div w:id="832994200">
      <w:bodyDiv w:val="1"/>
      <w:marLeft w:val="0"/>
      <w:marRight w:val="0"/>
      <w:marTop w:val="0"/>
      <w:marBottom w:val="0"/>
      <w:divBdr>
        <w:top w:val="none" w:sz="0" w:space="0" w:color="auto"/>
        <w:left w:val="none" w:sz="0" w:space="0" w:color="auto"/>
        <w:bottom w:val="none" w:sz="0" w:space="0" w:color="auto"/>
        <w:right w:val="none" w:sz="0" w:space="0" w:color="auto"/>
      </w:divBdr>
    </w:div>
    <w:div w:id="916787133">
      <w:bodyDiv w:val="1"/>
      <w:marLeft w:val="0"/>
      <w:marRight w:val="0"/>
      <w:marTop w:val="0"/>
      <w:marBottom w:val="0"/>
      <w:divBdr>
        <w:top w:val="none" w:sz="0" w:space="0" w:color="auto"/>
        <w:left w:val="none" w:sz="0" w:space="0" w:color="auto"/>
        <w:bottom w:val="none" w:sz="0" w:space="0" w:color="auto"/>
        <w:right w:val="none" w:sz="0" w:space="0" w:color="auto"/>
      </w:divBdr>
    </w:div>
    <w:div w:id="1114131697">
      <w:bodyDiv w:val="1"/>
      <w:marLeft w:val="0"/>
      <w:marRight w:val="0"/>
      <w:marTop w:val="0"/>
      <w:marBottom w:val="0"/>
      <w:divBdr>
        <w:top w:val="none" w:sz="0" w:space="0" w:color="auto"/>
        <w:left w:val="none" w:sz="0" w:space="0" w:color="auto"/>
        <w:bottom w:val="none" w:sz="0" w:space="0" w:color="auto"/>
        <w:right w:val="none" w:sz="0" w:space="0" w:color="auto"/>
      </w:divBdr>
    </w:div>
    <w:div w:id="1132015796">
      <w:bodyDiv w:val="1"/>
      <w:marLeft w:val="0"/>
      <w:marRight w:val="0"/>
      <w:marTop w:val="0"/>
      <w:marBottom w:val="0"/>
      <w:divBdr>
        <w:top w:val="none" w:sz="0" w:space="0" w:color="auto"/>
        <w:left w:val="none" w:sz="0" w:space="0" w:color="auto"/>
        <w:bottom w:val="none" w:sz="0" w:space="0" w:color="auto"/>
        <w:right w:val="none" w:sz="0" w:space="0" w:color="auto"/>
      </w:divBdr>
    </w:div>
    <w:div w:id="1192258671">
      <w:bodyDiv w:val="1"/>
      <w:marLeft w:val="0"/>
      <w:marRight w:val="0"/>
      <w:marTop w:val="0"/>
      <w:marBottom w:val="0"/>
      <w:divBdr>
        <w:top w:val="none" w:sz="0" w:space="0" w:color="auto"/>
        <w:left w:val="none" w:sz="0" w:space="0" w:color="auto"/>
        <w:bottom w:val="none" w:sz="0" w:space="0" w:color="auto"/>
        <w:right w:val="none" w:sz="0" w:space="0" w:color="auto"/>
      </w:divBdr>
      <w:divsChild>
        <w:div w:id="440228908">
          <w:marLeft w:val="0"/>
          <w:marRight w:val="0"/>
          <w:marTop w:val="0"/>
          <w:marBottom w:val="0"/>
          <w:divBdr>
            <w:top w:val="none" w:sz="0" w:space="0" w:color="auto"/>
            <w:left w:val="none" w:sz="0" w:space="0" w:color="auto"/>
            <w:bottom w:val="none" w:sz="0" w:space="0" w:color="auto"/>
            <w:right w:val="none" w:sz="0" w:space="0" w:color="auto"/>
          </w:divBdr>
          <w:divsChild>
            <w:div w:id="962032322">
              <w:marLeft w:val="0"/>
              <w:marRight w:val="0"/>
              <w:marTop w:val="0"/>
              <w:marBottom w:val="0"/>
              <w:divBdr>
                <w:top w:val="none" w:sz="0" w:space="0" w:color="auto"/>
                <w:left w:val="none" w:sz="0" w:space="0" w:color="auto"/>
                <w:bottom w:val="none" w:sz="0" w:space="0" w:color="auto"/>
                <w:right w:val="none" w:sz="0" w:space="0" w:color="auto"/>
              </w:divBdr>
            </w:div>
          </w:divsChild>
        </w:div>
        <w:div w:id="1247617438">
          <w:marLeft w:val="0"/>
          <w:marRight w:val="0"/>
          <w:marTop w:val="0"/>
          <w:marBottom w:val="120"/>
          <w:divBdr>
            <w:top w:val="none" w:sz="0" w:space="0" w:color="auto"/>
            <w:left w:val="none" w:sz="0" w:space="0" w:color="auto"/>
            <w:bottom w:val="none" w:sz="0" w:space="0" w:color="auto"/>
            <w:right w:val="none" w:sz="0" w:space="0" w:color="auto"/>
          </w:divBdr>
          <w:divsChild>
            <w:div w:id="1434864013">
              <w:marLeft w:val="0"/>
              <w:marRight w:val="0"/>
              <w:marTop w:val="0"/>
              <w:marBottom w:val="0"/>
              <w:divBdr>
                <w:top w:val="none" w:sz="0" w:space="0" w:color="auto"/>
                <w:left w:val="none" w:sz="0" w:space="0" w:color="auto"/>
                <w:bottom w:val="none" w:sz="0" w:space="0" w:color="auto"/>
                <w:right w:val="none" w:sz="0" w:space="0" w:color="auto"/>
              </w:divBdr>
              <w:divsChild>
                <w:div w:id="455178961">
                  <w:marLeft w:val="0"/>
                  <w:marRight w:val="0"/>
                  <w:marTop w:val="0"/>
                  <w:marBottom w:val="0"/>
                  <w:divBdr>
                    <w:top w:val="none" w:sz="0" w:space="0" w:color="auto"/>
                    <w:left w:val="none" w:sz="0" w:space="0" w:color="auto"/>
                    <w:bottom w:val="none" w:sz="0" w:space="0" w:color="auto"/>
                    <w:right w:val="none" w:sz="0" w:space="0" w:color="auto"/>
                  </w:divBdr>
                  <w:divsChild>
                    <w:div w:id="41741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979626">
          <w:marLeft w:val="0"/>
          <w:marRight w:val="0"/>
          <w:marTop w:val="24"/>
          <w:marBottom w:val="84"/>
          <w:divBdr>
            <w:top w:val="none" w:sz="0" w:space="0" w:color="auto"/>
            <w:left w:val="none" w:sz="0" w:space="0" w:color="auto"/>
            <w:bottom w:val="single" w:sz="4" w:space="0" w:color="CCCCCC"/>
            <w:right w:val="none" w:sz="0" w:space="0" w:color="auto"/>
          </w:divBdr>
          <w:divsChild>
            <w:div w:id="20596371">
              <w:marLeft w:val="0"/>
              <w:marRight w:val="0"/>
              <w:marTop w:val="0"/>
              <w:marBottom w:val="0"/>
              <w:divBdr>
                <w:top w:val="none" w:sz="0" w:space="0" w:color="auto"/>
                <w:left w:val="none" w:sz="0" w:space="0" w:color="auto"/>
                <w:bottom w:val="none" w:sz="0" w:space="0" w:color="auto"/>
                <w:right w:val="none" w:sz="0" w:space="0" w:color="auto"/>
              </w:divBdr>
              <w:divsChild>
                <w:div w:id="921379032">
                  <w:marLeft w:val="0"/>
                  <w:marRight w:val="0"/>
                  <w:marTop w:val="0"/>
                  <w:marBottom w:val="0"/>
                  <w:divBdr>
                    <w:top w:val="none" w:sz="0" w:space="0" w:color="auto"/>
                    <w:left w:val="none" w:sz="0" w:space="0" w:color="auto"/>
                    <w:bottom w:val="none" w:sz="0" w:space="0" w:color="auto"/>
                    <w:right w:val="none" w:sz="0" w:space="0" w:color="auto"/>
                  </w:divBdr>
                  <w:divsChild>
                    <w:div w:id="807473421">
                      <w:marLeft w:val="0"/>
                      <w:marRight w:val="0"/>
                      <w:marTop w:val="0"/>
                      <w:marBottom w:val="0"/>
                      <w:divBdr>
                        <w:top w:val="none" w:sz="0" w:space="0" w:color="auto"/>
                        <w:left w:val="none" w:sz="0" w:space="0" w:color="auto"/>
                        <w:bottom w:val="none" w:sz="0" w:space="0" w:color="auto"/>
                        <w:right w:val="none" w:sz="0" w:space="0" w:color="auto"/>
                      </w:divBdr>
                      <w:divsChild>
                        <w:div w:id="1147167322">
                          <w:marLeft w:val="0"/>
                          <w:marRight w:val="0"/>
                          <w:marTop w:val="2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892110">
      <w:bodyDiv w:val="1"/>
      <w:marLeft w:val="0"/>
      <w:marRight w:val="0"/>
      <w:marTop w:val="0"/>
      <w:marBottom w:val="0"/>
      <w:divBdr>
        <w:top w:val="none" w:sz="0" w:space="0" w:color="auto"/>
        <w:left w:val="none" w:sz="0" w:space="0" w:color="auto"/>
        <w:bottom w:val="none" w:sz="0" w:space="0" w:color="auto"/>
        <w:right w:val="none" w:sz="0" w:space="0" w:color="auto"/>
      </w:divBdr>
    </w:div>
    <w:div w:id="1379817133">
      <w:bodyDiv w:val="1"/>
      <w:marLeft w:val="0"/>
      <w:marRight w:val="0"/>
      <w:marTop w:val="0"/>
      <w:marBottom w:val="0"/>
      <w:divBdr>
        <w:top w:val="none" w:sz="0" w:space="0" w:color="auto"/>
        <w:left w:val="none" w:sz="0" w:space="0" w:color="auto"/>
        <w:bottom w:val="none" w:sz="0" w:space="0" w:color="auto"/>
        <w:right w:val="none" w:sz="0" w:space="0" w:color="auto"/>
      </w:divBdr>
    </w:div>
    <w:div w:id="1552880602">
      <w:bodyDiv w:val="1"/>
      <w:marLeft w:val="0"/>
      <w:marRight w:val="0"/>
      <w:marTop w:val="0"/>
      <w:marBottom w:val="0"/>
      <w:divBdr>
        <w:top w:val="none" w:sz="0" w:space="0" w:color="auto"/>
        <w:left w:val="none" w:sz="0" w:space="0" w:color="auto"/>
        <w:bottom w:val="none" w:sz="0" w:space="0" w:color="auto"/>
        <w:right w:val="none" w:sz="0" w:space="0" w:color="auto"/>
      </w:divBdr>
      <w:divsChild>
        <w:div w:id="172037522">
          <w:marLeft w:val="0"/>
          <w:marRight w:val="0"/>
          <w:marTop w:val="0"/>
          <w:marBottom w:val="0"/>
          <w:divBdr>
            <w:top w:val="none" w:sz="0" w:space="0" w:color="auto"/>
            <w:left w:val="none" w:sz="0" w:space="0" w:color="auto"/>
            <w:bottom w:val="none" w:sz="0" w:space="0" w:color="auto"/>
            <w:right w:val="none" w:sz="0" w:space="0" w:color="auto"/>
          </w:divBdr>
          <w:divsChild>
            <w:div w:id="1677732687">
              <w:marLeft w:val="0"/>
              <w:marRight w:val="0"/>
              <w:marTop w:val="0"/>
              <w:marBottom w:val="0"/>
              <w:divBdr>
                <w:top w:val="none" w:sz="0" w:space="0" w:color="auto"/>
                <w:left w:val="none" w:sz="0" w:space="0" w:color="auto"/>
                <w:bottom w:val="none" w:sz="0" w:space="0" w:color="auto"/>
                <w:right w:val="none" w:sz="0" w:space="0" w:color="auto"/>
              </w:divBdr>
            </w:div>
          </w:divsChild>
        </w:div>
        <w:div w:id="1132290521">
          <w:marLeft w:val="0"/>
          <w:marRight w:val="0"/>
          <w:marTop w:val="0"/>
          <w:marBottom w:val="120"/>
          <w:divBdr>
            <w:top w:val="none" w:sz="0" w:space="0" w:color="auto"/>
            <w:left w:val="none" w:sz="0" w:space="0" w:color="auto"/>
            <w:bottom w:val="none" w:sz="0" w:space="0" w:color="auto"/>
            <w:right w:val="none" w:sz="0" w:space="0" w:color="auto"/>
          </w:divBdr>
          <w:divsChild>
            <w:div w:id="508718326">
              <w:marLeft w:val="0"/>
              <w:marRight w:val="0"/>
              <w:marTop w:val="0"/>
              <w:marBottom w:val="0"/>
              <w:divBdr>
                <w:top w:val="none" w:sz="0" w:space="0" w:color="auto"/>
                <w:left w:val="none" w:sz="0" w:space="0" w:color="auto"/>
                <w:bottom w:val="none" w:sz="0" w:space="0" w:color="auto"/>
                <w:right w:val="none" w:sz="0" w:space="0" w:color="auto"/>
              </w:divBdr>
              <w:divsChild>
                <w:div w:id="645086543">
                  <w:marLeft w:val="0"/>
                  <w:marRight w:val="0"/>
                  <w:marTop w:val="0"/>
                  <w:marBottom w:val="0"/>
                  <w:divBdr>
                    <w:top w:val="none" w:sz="0" w:space="0" w:color="auto"/>
                    <w:left w:val="none" w:sz="0" w:space="0" w:color="auto"/>
                    <w:bottom w:val="none" w:sz="0" w:space="0" w:color="auto"/>
                    <w:right w:val="none" w:sz="0" w:space="0" w:color="auto"/>
                  </w:divBdr>
                  <w:divsChild>
                    <w:div w:id="7459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2307/1354221" TargetMode="External"/><Relationship Id="rId13" Type="http://schemas.openxmlformats.org/officeDocument/2006/relationships/hyperlink" Target="https://doi.org/10.1177%2F104973230527668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ctualno.com/actualno/nevidimite-i-socialnite-news_1415084.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353/ppp.2016.00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353/ppp.2016.0025" TargetMode="External"/><Relationship Id="rId5" Type="http://schemas.openxmlformats.org/officeDocument/2006/relationships/webSettings" Target="webSettings.xml"/><Relationship Id="rId15" Type="http://schemas.openxmlformats.org/officeDocument/2006/relationships/hyperlink" Target="http://dx.doi.org/10.1080/09687599.2014.957925" TargetMode="External"/><Relationship Id="rId10" Type="http://schemas.openxmlformats.org/officeDocument/2006/relationships/hyperlink" Target="https://rm.coe.int/1680a090b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57/iga.2012.6" TargetMode="External"/><Relationship Id="rId14" Type="http://schemas.openxmlformats.org/officeDocument/2006/relationships/hyperlink" Target="https://doi.org/10.3917/mouv.024.0021"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old.duma.bg/2007/0707/190707/obshtestvo/ob-4.html"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1ABD5-45F9-4FC2-B077-085CAB93F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22779</TotalTime>
  <Pages>17</Pages>
  <Words>9105</Words>
  <Characters>52085</Characters>
  <Application>Microsoft Office Word</Application>
  <DocSecurity>0</DocSecurity>
  <Lines>703</Lines>
  <Paragraphs>171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abv</dc:creator>
  <cp:keywords/>
  <dc:description/>
  <cp:lastModifiedBy>abv</cp:lastModifiedBy>
  <cp:revision>312</cp:revision>
  <dcterms:created xsi:type="dcterms:W3CDTF">2021-05-04T10:07:00Z</dcterms:created>
  <dcterms:modified xsi:type="dcterms:W3CDTF">2021-12-06T08:33:00Z</dcterms:modified>
</cp:coreProperties>
</file>