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03ED6" w14:textId="0A409086" w:rsidR="0055421B" w:rsidRPr="00894FDD" w:rsidRDefault="00351729" w:rsidP="000D7C7E">
      <w:pPr>
        <w:shd w:val="clear" w:color="auto" w:fill="FFFFFF"/>
        <w:spacing w:beforeAutospacing="1" w:afterAutospacing="1"/>
        <w:jc w:val="both"/>
        <w:rPr>
          <w:rFonts w:ascii="Times New Roman" w:eastAsia="Times New Roman" w:hAnsi="Times New Roman" w:cs="Times New Roman"/>
          <w:bCs/>
          <w:sz w:val="22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bCs/>
          <w:sz w:val="22"/>
          <w:shd w:val="clear" w:color="auto" w:fill="FFFFFF"/>
          <w:lang w:eastAsia="it-IT"/>
        </w:rPr>
        <w:t xml:space="preserve">Ines </w:t>
      </w:r>
      <w:r w:rsidR="0055421B" w:rsidRPr="00894FDD">
        <w:rPr>
          <w:rFonts w:ascii="Times New Roman" w:eastAsia="Times New Roman" w:hAnsi="Times New Roman" w:cs="Times New Roman"/>
          <w:bCs/>
          <w:sz w:val="22"/>
          <w:shd w:val="clear" w:color="auto" w:fill="FFFFFF"/>
          <w:lang w:eastAsia="it-IT"/>
        </w:rPr>
        <w:t>Guerini</w:t>
      </w:r>
      <w:r>
        <w:rPr>
          <w:rFonts w:ascii="Times New Roman" w:eastAsia="Times New Roman" w:hAnsi="Times New Roman" w:cs="Times New Roman"/>
          <w:bCs/>
          <w:sz w:val="22"/>
          <w:shd w:val="clear" w:color="auto" w:fill="FFFFFF"/>
          <w:lang w:eastAsia="it-IT"/>
        </w:rPr>
        <w:t xml:space="preserve">, Carla Gueli, Fabio </w:t>
      </w:r>
      <w:r w:rsidR="00005B76">
        <w:rPr>
          <w:rFonts w:ascii="Times New Roman" w:eastAsia="Times New Roman" w:hAnsi="Times New Roman" w:cs="Times New Roman"/>
          <w:bCs/>
          <w:sz w:val="22"/>
          <w:shd w:val="clear" w:color="auto" w:fill="FFFFFF"/>
          <w:lang w:eastAsia="it-IT"/>
        </w:rPr>
        <w:t>Bocci</w:t>
      </w:r>
      <w:bookmarkStart w:id="0" w:name="_GoBack"/>
      <w:bookmarkEnd w:id="0"/>
    </w:p>
    <w:p w14:paraId="3BD873C2" w14:textId="71F57AC3" w:rsidR="00231964" w:rsidRDefault="000D7C7E" w:rsidP="000D7C7E">
      <w:pPr>
        <w:shd w:val="clear" w:color="auto" w:fill="FFFFFF"/>
        <w:spacing w:beforeAutospacing="1" w:afterAutospacing="1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val="en-US" w:eastAsia="it-IT"/>
        </w:rPr>
      </w:pPr>
      <w:r w:rsidRPr="000D7C7E">
        <w:rPr>
          <w:rFonts w:ascii="Times New Roman" w:eastAsia="Times New Roman" w:hAnsi="Times New Roman" w:cs="Times New Roman"/>
          <w:b/>
          <w:bCs/>
          <w:shd w:val="clear" w:color="auto" w:fill="FFFFFF"/>
          <w:lang w:val="en-US" w:eastAsia="it-IT"/>
        </w:rPr>
        <w:t>Deinstitutionalisation of people with intellectual impairment</w:t>
      </w:r>
      <w:r w:rsidR="00C95750">
        <w:rPr>
          <w:rFonts w:ascii="Times New Roman" w:eastAsia="Times New Roman" w:hAnsi="Times New Roman" w:cs="Times New Roman"/>
          <w:b/>
          <w:bCs/>
          <w:shd w:val="clear" w:color="auto" w:fill="FFFFFF"/>
          <w:lang w:val="en-US" w:eastAsia="it-IT"/>
        </w:rPr>
        <w:t xml:space="preserve">. Comparing </w:t>
      </w:r>
      <w:r w:rsidR="009874D2">
        <w:rPr>
          <w:rFonts w:ascii="Times New Roman" w:eastAsia="Times New Roman" w:hAnsi="Times New Roman" w:cs="Times New Roman"/>
          <w:b/>
          <w:bCs/>
          <w:shd w:val="clear" w:color="auto" w:fill="FFFFFF"/>
          <w:lang w:val="en-US" w:eastAsia="it-IT"/>
        </w:rPr>
        <w:t xml:space="preserve">Italian, German and Swiss </w:t>
      </w:r>
      <w:r w:rsidR="00C95750">
        <w:rPr>
          <w:rFonts w:ascii="Times New Roman" w:eastAsia="Times New Roman" w:hAnsi="Times New Roman" w:cs="Times New Roman"/>
          <w:b/>
          <w:bCs/>
          <w:shd w:val="clear" w:color="auto" w:fill="FFFFFF"/>
          <w:lang w:val="en-US" w:eastAsia="it-IT"/>
        </w:rPr>
        <w:t>good practices of independent living</w:t>
      </w:r>
    </w:p>
    <w:p w14:paraId="2C7755C8" w14:textId="3821FFD9" w:rsidR="009808B3" w:rsidRPr="001D0AA5" w:rsidRDefault="0080652F" w:rsidP="009808B3">
      <w:pPr>
        <w:jc w:val="both"/>
        <w:rPr>
          <w:rFonts w:ascii="Times New Roman" w:hAnsi="Times New Roman" w:cs="Times New Roman"/>
          <w:lang w:val="en-US"/>
        </w:rPr>
      </w:pPr>
      <w:r w:rsidRPr="00BD0D40">
        <w:rPr>
          <w:rFonts w:ascii="Times New Roman" w:hAnsi="Times New Roman" w:cs="Times New Roman"/>
          <w:i/>
          <w:iCs/>
          <w:lang w:val="en-US"/>
        </w:rPr>
        <w:t>Persons with disabilities have the opportunity to choose their place of residence and where and with whom they live</w:t>
      </w:r>
      <w:r>
        <w:rPr>
          <w:rFonts w:ascii="Times New Roman" w:hAnsi="Times New Roman" w:cs="Times New Roman"/>
          <w:lang w:val="en-US"/>
        </w:rPr>
        <w:t xml:space="preserve"> </w:t>
      </w:r>
      <w:r w:rsidR="00103758">
        <w:rPr>
          <w:rFonts w:ascii="Times New Roman" w:hAnsi="Times New Roman" w:cs="Times New Roman"/>
          <w:lang w:val="en-US"/>
        </w:rPr>
        <w:t xml:space="preserve">states </w:t>
      </w:r>
      <w:r w:rsidR="00DB01E7">
        <w:rPr>
          <w:rFonts w:ascii="Times New Roman" w:hAnsi="Times New Roman" w:cs="Times New Roman"/>
          <w:lang w:val="en-US"/>
        </w:rPr>
        <w:t xml:space="preserve">the </w:t>
      </w:r>
      <w:r w:rsidR="00B50F95" w:rsidRPr="00B50F95">
        <w:rPr>
          <w:rFonts w:ascii="Times New Roman" w:hAnsi="Times New Roman" w:cs="Times New Roman"/>
          <w:lang w:val="en-US"/>
        </w:rPr>
        <w:t>Convention on the Rights of Persons with Disabilities</w:t>
      </w:r>
      <w:r w:rsidR="004528E7">
        <w:rPr>
          <w:rFonts w:ascii="Times New Roman" w:hAnsi="Times New Roman" w:cs="Times New Roman"/>
          <w:lang w:val="en-US"/>
        </w:rPr>
        <w:t xml:space="preserve"> (</w:t>
      </w:r>
      <w:r w:rsidR="00291C21">
        <w:rPr>
          <w:rFonts w:ascii="Times New Roman" w:hAnsi="Times New Roman" w:cs="Times New Roman"/>
          <w:lang w:val="en-US"/>
        </w:rPr>
        <w:t xml:space="preserve">UN, 2006). Starting from this </w:t>
      </w:r>
      <w:r w:rsidR="00252AED">
        <w:rPr>
          <w:rFonts w:ascii="Times New Roman" w:hAnsi="Times New Roman" w:cs="Times New Roman"/>
          <w:lang w:val="en-US"/>
        </w:rPr>
        <w:t xml:space="preserve">entitlement </w:t>
      </w:r>
      <w:r w:rsidR="00BA6B82">
        <w:rPr>
          <w:rFonts w:ascii="Times New Roman" w:hAnsi="Times New Roman" w:cs="Times New Roman"/>
          <w:lang w:val="en-US"/>
        </w:rPr>
        <w:t xml:space="preserve">we have investigated through a multiple case study if and </w:t>
      </w:r>
      <w:r w:rsidR="00EC478B">
        <w:rPr>
          <w:rFonts w:ascii="Times New Roman" w:hAnsi="Times New Roman" w:cs="Times New Roman"/>
          <w:lang w:val="en-US"/>
        </w:rPr>
        <w:t xml:space="preserve">how </w:t>
      </w:r>
      <w:r w:rsidR="00EC478B" w:rsidRPr="00EC478B">
        <w:rPr>
          <w:rFonts w:ascii="Times New Roman" w:hAnsi="Times New Roman" w:cs="Times New Roman"/>
          <w:bCs/>
          <w:lang w:val="en-US"/>
        </w:rPr>
        <w:t>Italian, German and Swiss</w:t>
      </w:r>
      <w:r w:rsidR="00EC478B" w:rsidRPr="00EC478B">
        <w:rPr>
          <w:rFonts w:ascii="Times New Roman" w:hAnsi="Times New Roman" w:cs="Times New Roman"/>
          <w:lang w:val="en-US"/>
        </w:rPr>
        <w:t xml:space="preserve"> </w:t>
      </w:r>
      <w:r w:rsidR="00BA6B82">
        <w:rPr>
          <w:rFonts w:ascii="Times New Roman" w:hAnsi="Times New Roman" w:cs="Times New Roman"/>
          <w:lang w:val="en-US"/>
        </w:rPr>
        <w:t xml:space="preserve">residential homes for people with intellectual impairment </w:t>
      </w:r>
      <w:r w:rsidR="00EC478B">
        <w:rPr>
          <w:rFonts w:ascii="Times New Roman" w:hAnsi="Times New Roman" w:cs="Times New Roman"/>
          <w:lang w:val="en-US"/>
        </w:rPr>
        <w:t xml:space="preserve">were </w:t>
      </w:r>
      <w:r w:rsidR="006425FD">
        <w:rPr>
          <w:rFonts w:ascii="Times New Roman" w:hAnsi="Times New Roman" w:cs="Times New Roman"/>
          <w:lang w:val="en-US"/>
        </w:rPr>
        <w:t>changing their prac</w:t>
      </w:r>
      <w:r w:rsidR="00B52A48">
        <w:rPr>
          <w:rFonts w:ascii="Times New Roman" w:hAnsi="Times New Roman" w:cs="Times New Roman"/>
          <w:lang w:val="en-US"/>
        </w:rPr>
        <w:t>tices</w:t>
      </w:r>
      <w:r w:rsidR="00B52A48" w:rsidRPr="00891B7C">
        <w:rPr>
          <w:rFonts w:ascii="Times New Roman" w:hAnsi="Times New Roman" w:cs="Times New Roman"/>
          <w:lang w:val="en-US"/>
        </w:rPr>
        <w:t xml:space="preserve">. The study was conducted in years 2015-2018 adopting a </w:t>
      </w:r>
      <w:r w:rsidR="00416CF5" w:rsidRPr="00891B7C">
        <w:rPr>
          <w:rFonts w:ascii="Times New Roman" w:hAnsi="Times New Roman" w:cs="Times New Roman"/>
          <w:bCs/>
          <w:lang w:val="en-US"/>
        </w:rPr>
        <w:t>convergent</w:t>
      </w:r>
      <w:r w:rsidR="00416CF5" w:rsidRPr="00891B7C">
        <w:rPr>
          <w:rFonts w:ascii="Times New Roman" w:hAnsi="Times New Roman" w:cs="Times New Roman"/>
          <w:lang w:val="en-US"/>
        </w:rPr>
        <w:t> </w:t>
      </w:r>
      <w:r w:rsidR="00416CF5" w:rsidRPr="00891B7C">
        <w:rPr>
          <w:rFonts w:ascii="Times New Roman" w:hAnsi="Times New Roman" w:cs="Times New Roman"/>
          <w:bCs/>
          <w:lang w:val="en-US"/>
        </w:rPr>
        <w:t>parallel</w:t>
      </w:r>
      <w:r w:rsidR="00416CF5" w:rsidRPr="00891B7C">
        <w:rPr>
          <w:rFonts w:ascii="Times New Roman" w:hAnsi="Times New Roman" w:cs="Times New Roman"/>
          <w:lang w:val="en-US"/>
        </w:rPr>
        <w:t> </w:t>
      </w:r>
      <w:r w:rsidR="00416CF5" w:rsidRPr="00891B7C">
        <w:rPr>
          <w:rFonts w:ascii="Times New Roman" w:hAnsi="Times New Roman" w:cs="Times New Roman"/>
          <w:bCs/>
          <w:lang w:val="en-US"/>
        </w:rPr>
        <w:t>design</w:t>
      </w:r>
      <w:r w:rsidR="00416CF5" w:rsidRPr="00891B7C">
        <w:rPr>
          <w:rFonts w:ascii="Times New Roman" w:hAnsi="Times New Roman" w:cs="Times New Roman"/>
          <w:lang w:val="en-US"/>
        </w:rPr>
        <w:t> mixed methods (Creswell &amp; Plano Clark, 2011).</w:t>
      </w:r>
      <w:r w:rsidR="003E0191" w:rsidRPr="00891B7C">
        <w:rPr>
          <w:rFonts w:ascii="Times New Roman" w:hAnsi="Times New Roman" w:cs="Times New Roman"/>
          <w:lang w:val="en-US"/>
        </w:rPr>
        <w:t xml:space="preserve"> </w:t>
      </w:r>
      <w:r w:rsidR="00035C60" w:rsidRPr="00891B7C">
        <w:rPr>
          <w:rFonts w:ascii="Times New Roman" w:hAnsi="Times New Roman" w:cs="Times New Roman"/>
          <w:lang w:val="en-US"/>
        </w:rPr>
        <w:t xml:space="preserve">Reasons why we have decided to investigate this </w:t>
      </w:r>
      <w:r w:rsidR="00344033" w:rsidRPr="00891B7C">
        <w:rPr>
          <w:rFonts w:ascii="Times New Roman" w:hAnsi="Times New Roman" w:cs="Times New Roman"/>
          <w:lang w:val="en-US"/>
        </w:rPr>
        <w:t xml:space="preserve">institution relate to the </w:t>
      </w:r>
      <w:r w:rsidR="00395D51" w:rsidRPr="00891B7C">
        <w:rPr>
          <w:rFonts w:ascii="Times New Roman" w:hAnsi="Times New Roman" w:cs="Times New Roman"/>
          <w:lang w:val="en-US"/>
        </w:rPr>
        <w:t>time gap in which</w:t>
      </w:r>
      <w:r w:rsidR="00395D51">
        <w:rPr>
          <w:rFonts w:ascii="Times New Roman" w:hAnsi="Times New Roman" w:cs="Times New Roman"/>
          <w:lang w:val="en-US"/>
        </w:rPr>
        <w:t xml:space="preserve"> integrative practices and phenomenon of deinstitutionalisation developed in the three countries. </w:t>
      </w:r>
      <w:r w:rsidR="00E75C41">
        <w:rPr>
          <w:rFonts w:ascii="Times New Roman" w:hAnsi="Times New Roman" w:cs="Times New Roman"/>
          <w:lang w:val="en-US"/>
        </w:rPr>
        <w:t xml:space="preserve">In fact, in Italy these phenomena developed in the Seventies already </w:t>
      </w:r>
      <w:r w:rsidR="00E75C41" w:rsidRPr="001F4A41">
        <w:rPr>
          <w:rFonts w:ascii="Times New Roman" w:hAnsi="Times New Roman" w:cs="Times New Roman"/>
          <w:lang w:val="en-US"/>
        </w:rPr>
        <w:t>(</w:t>
      </w:r>
      <w:r w:rsidR="00E75C41">
        <w:rPr>
          <w:rFonts w:ascii="Times New Roman" w:hAnsi="Times New Roman" w:cs="Times New Roman"/>
          <w:lang w:val="en-US"/>
        </w:rPr>
        <w:t xml:space="preserve">Ianes </w:t>
      </w:r>
      <w:r w:rsidR="00891B7C">
        <w:rPr>
          <w:rFonts w:ascii="Times New Roman" w:hAnsi="Times New Roman" w:cs="Times New Roman"/>
          <w:lang w:val="en-US"/>
        </w:rPr>
        <w:t>&amp;</w:t>
      </w:r>
      <w:r w:rsidR="00E75C41">
        <w:rPr>
          <w:rFonts w:ascii="Times New Roman" w:hAnsi="Times New Roman" w:cs="Times New Roman"/>
          <w:lang w:val="en-US"/>
        </w:rPr>
        <w:t xml:space="preserve"> al., 2020), but Germany and Switzerland </w:t>
      </w:r>
      <w:r w:rsidR="00EE2561">
        <w:rPr>
          <w:rFonts w:ascii="Times New Roman" w:hAnsi="Times New Roman" w:cs="Times New Roman"/>
          <w:lang w:val="en-US"/>
        </w:rPr>
        <w:t>decided to close special schools only in recent years  (</w:t>
      </w:r>
      <w:r w:rsidR="003C35FF" w:rsidRPr="003C35FF">
        <w:rPr>
          <w:rFonts w:ascii="Times New Roman" w:hAnsi="Times New Roman" w:cs="Times New Roman"/>
          <w:iCs/>
          <w:lang w:val="en-US"/>
        </w:rPr>
        <w:t>Melzer, 2019</w:t>
      </w:r>
      <w:r w:rsidR="00EE2561">
        <w:rPr>
          <w:rFonts w:ascii="Times New Roman" w:hAnsi="Times New Roman" w:cs="Times New Roman"/>
          <w:lang w:val="en-US"/>
        </w:rPr>
        <w:t>)</w:t>
      </w:r>
      <w:r w:rsidR="003C35FF">
        <w:rPr>
          <w:rFonts w:ascii="Times New Roman" w:hAnsi="Times New Roman" w:cs="Times New Roman"/>
          <w:lang w:val="en-US"/>
        </w:rPr>
        <w:t>.</w:t>
      </w:r>
      <w:r w:rsidR="00082645">
        <w:rPr>
          <w:rFonts w:ascii="Times New Roman" w:hAnsi="Times New Roman" w:cs="Times New Roman"/>
          <w:lang w:val="en-US"/>
        </w:rPr>
        <w:t xml:space="preserve"> </w:t>
      </w:r>
      <w:r w:rsidR="004E153F">
        <w:rPr>
          <w:rFonts w:ascii="Times New Roman" w:hAnsi="Times New Roman" w:cs="Times New Roman"/>
          <w:lang w:val="en-US"/>
        </w:rPr>
        <w:t>Therefore, our interest was understanding</w:t>
      </w:r>
      <w:r w:rsidR="004D6314">
        <w:rPr>
          <w:rFonts w:ascii="Times New Roman" w:hAnsi="Times New Roman" w:cs="Times New Roman"/>
          <w:lang w:val="en-US"/>
        </w:rPr>
        <w:t xml:space="preserve"> </w:t>
      </w:r>
      <w:r w:rsidR="00BD0D40">
        <w:rPr>
          <w:rFonts w:ascii="Times New Roman" w:hAnsi="Times New Roman" w:cs="Times New Roman"/>
          <w:lang w:val="en-US"/>
        </w:rPr>
        <w:t xml:space="preserve">these Countries </w:t>
      </w:r>
      <w:r w:rsidR="00A45BE6">
        <w:rPr>
          <w:rFonts w:ascii="Times New Roman" w:hAnsi="Times New Roman" w:cs="Times New Roman"/>
          <w:lang w:val="en-US"/>
        </w:rPr>
        <w:t>were doing in order to begin inclusive processes</w:t>
      </w:r>
      <w:r w:rsidR="00C14BF3">
        <w:rPr>
          <w:rFonts w:ascii="Times New Roman" w:hAnsi="Times New Roman" w:cs="Times New Roman"/>
          <w:lang w:val="en-US"/>
        </w:rPr>
        <w:t xml:space="preserve"> though which community could better welcome people with intellectual impairment.</w:t>
      </w:r>
      <w:r w:rsidR="00621F50">
        <w:rPr>
          <w:rFonts w:ascii="Times New Roman" w:hAnsi="Times New Roman" w:cs="Times New Roman"/>
          <w:lang w:val="en-US"/>
        </w:rPr>
        <w:t xml:space="preserve"> </w:t>
      </w:r>
      <w:r w:rsidR="009808B3" w:rsidRPr="001D0AA5">
        <w:rPr>
          <w:rFonts w:ascii="Times New Roman" w:hAnsi="Times New Roman" w:cs="Times New Roman"/>
          <w:lang w:val="en-US"/>
        </w:rPr>
        <w:t>The theoretical framework</w:t>
      </w:r>
      <w:r w:rsidR="00D463AF" w:rsidRPr="001D0AA5">
        <w:rPr>
          <w:rFonts w:ascii="Times New Roman" w:hAnsi="Times New Roman" w:cs="Times New Roman"/>
          <w:lang w:val="en-US"/>
        </w:rPr>
        <w:t xml:space="preserve"> </w:t>
      </w:r>
      <w:r w:rsidR="009808B3" w:rsidRPr="001D0AA5">
        <w:rPr>
          <w:rFonts w:ascii="Times New Roman" w:hAnsi="Times New Roman" w:cs="Times New Roman"/>
          <w:lang w:val="en-US"/>
        </w:rPr>
        <w:t>refers to both Disability Studies (</w:t>
      </w:r>
      <w:r w:rsidR="00FC019F" w:rsidRPr="001D0AA5">
        <w:rPr>
          <w:rFonts w:ascii="Times New Roman" w:hAnsi="Times New Roman" w:cs="Times New Roman"/>
          <w:lang w:val="en-US"/>
        </w:rPr>
        <w:t>Barnes</w:t>
      </w:r>
      <w:r w:rsidR="00537030" w:rsidRPr="001D0AA5">
        <w:rPr>
          <w:rFonts w:ascii="Times New Roman" w:hAnsi="Times New Roman" w:cs="Times New Roman"/>
          <w:lang w:val="en-US"/>
        </w:rPr>
        <w:t xml:space="preserve"> et al.</w:t>
      </w:r>
      <w:r w:rsidR="00FC019F" w:rsidRPr="001D0AA5">
        <w:rPr>
          <w:rFonts w:ascii="Times New Roman" w:hAnsi="Times New Roman" w:cs="Times New Roman"/>
          <w:lang w:val="en-US"/>
        </w:rPr>
        <w:t>, 2002; Medeghini &amp; al., 2013</w:t>
      </w:r>
      <w:r w:rsidR="009808B3" w:rsidRPr="001D0AA5">
        <w:rPr>
          <w:rFonts w:ascii="Times New Roman" w:hAnsi="Times New Roman" w:cs="Times New Roman"/>
          <w:lang w:val="en-US"/>
        </w:rPr>
        <w:t xml:space="preserve">) and </w:t>
      </w:r>
      <w:r w:rsidR="00537030" w:rsidRPr="001D0AA5">
        <w:rPr>
          <w:rFonts w:ascii="Times New Roman" w:hAnsi="Times New Roman" w:cs="Times New Roman"/>
          <w:lang w:val="en-US"/>
        </w:rPr>
        <w:t xml:space="preserve">to </w:t>
      </w:r>
      <w:r w:rsidR="009808B3" w:rsidRPr="001D0AA5">
        <w:rPr>
          <w:rFonts w:ascii="Times New Roman" w:hAnsi="Times New Roman" w:cs="Times New Roman"/>
          <w:lang w:val="en-US"/>
        </w:rPr>
        <w:t>Institutional Analysis (Lapassade, 1972;</w:t>
      </w:r>
      <w:r w:rsidR="0030298D" w:rsidRPr="001D0AA5">
        <w:rPr>
          <w:rFonts w:ascii="Times New Roman" w:hAnsi="Times New Roman" w:cs="Times New Roman"/>
          <w:lang w:val="en-US"/>
        </w:rPr>
        <w:t xml:space="preserve"> </w:t>
      </w:r>
      <w:r w:rsidR="009808B3" w:rsidRPr="001D0AA5">
        <w:rPr>
          <w:rFonts w:ascii="Times New Roman" w:hAnsi="Times New Roman" w:cs="Times New Roman"/>
          <w:lang w:val="en-US"/>
        </w:rPr>
        <w:t xml:space="preserve">Hess &amp; Weigand, 2008) also </w:t>
      </w:r>
      <w:r w:rsidR="00537030" w:rsidRPr="001D0AA5">
        <w:rPr>
          <w:rFonts w:ascii="Times New Roman" w:hAnsi="Times New Roman" w:cs="Times New Roman"/>
          <w:lang w:val="en-US"/>
        </w:rPr>
        <w:t>to</w:t>
      </w:r>
      <w:r w:rsidR="009808B3" w:rsidRPr="001D0AA5">
        <w:rPr>
          <w:rFonts w:ascii="Times New Roman" w:hAnsi="Times New Roman" w:cs="Times New Roman"/>
          <w:lang w:val="en-US"/>
        </w:rPr>
        <w:t xml:space="preserve"> a fruitful dialogue between these two perspectives (Bocci &amp; Gueli</w:t>
      </w:r>
      <w:r w:rsidR="00FC019F" w:rsidRPr="001D0AA5">
        <w:rPr>
          <w:rFonts w:ascii="Times New Roman" w:hAnsi="Times New Roman" w:cs="Times New Roman"/>
          <w:lang w:val="en-US"/>
        </w:rPr>
        <w:t>, 2019</w:t>
      </w:r>
      <w:r w:rsidR="009808B3" w:rsidRPr="001D0AA5">
        <w:rPr>
          <w:rFonts w:ascii="Times New Roman" w:hAnsi="Times New Roman" w:cs="Times New Roman"/>
          <w:lang w:val="en-US"/>
        </w:rPr>
        <w:t xml:space="preserve">). </w:t>
      </w:r>
      <w:r w:rsidR="00537030" w:rsidRPr="001D0AA5">
        <w:rPr>
          <w:rFonts w:ascii="Times New Roman" w:hAnsi="Times New Roman" w:cs="Times New Roman"/>
          <w:lang w:val="en-US"/>
        </w:rPr>
        <w:t xml:space="preserve">In fact, their </w:t>
      </w:r>
      <w:r w:rsidR="009808B3" w:rsidRPr="001D0AA5">
        <w:rPr>
          <w:rFonts w:ascii="Times New Roman" w:hAnsi="Times New Roman" w:cs="Times New Roman"/>
          <w:lang w:val="en-US"/>
        </w:rPr>
        <w:t>joint assumption</w:t>
      </w:r>
      <w:r w:rsidR="00537030" w:rsidRPr="001D0AA5">
        <w:rPr>
          <w:rFonts w:ascii="Times New Roman" w:hAnsi="Times New Roman" w:cs="Times New Roman"/>
          <w:lang w:val="en-US"/>
        </w:rPr>
        <w:t xml:space="preserve"> </w:t>
      </w:r>
      <w:r w:rsidR="009808B3" w:rsidRPr="001D0AA5">
        <w:rPr>
          <w:rFonts w:ascii="Times New Roman" w:hAnsi="Times New Roman" w:cs="Times New Roman"/>
          <w:lang w:val="en-US"/>
        </w:rPr>
        <w:t>allows to bring out the disability as a social construction</w:t>
      </w:r>
      <w:r w:rsidR="000423DA" w:rsidRPr="001D0AA5">
        <w:rPr>
          <w:rFonts w:ascii="Times New Roman" w:hAnsi="Times New Roman" w:cs="Times New Roman"/>
          <w:lang w:val="en-US"/>
        </w:rPr>
        <w:t>. Moreover, these perspectives can show disability</w:t>
      </w:r>
      <w:r w:rsidR="009808B3" w:rsidRPr="001D0AA5">
        <w:rPr>
          <w:rFonts w:ascii="Times New Roman" w:hAnsi="Times New Roman" w:cs="Times New Roman"/>
          <w:lang w:val="en-US"/>
        </w:rPr>
        <w:t xml:space="preserve"> representations, disabling processes and the role played by institutions</w:t>
      </w:r>
      <w:r w:rsidR="00A12AAA" w:rsidRPr="001D0AA5">
        <w:rPr>
          <w:rFonts w:ascii="Times New Roman" w:hAnsi="Times New Roman" w:cs="Times New Roman"/>
          <w:lang w:val="en-US"/>
        </w:rPr>
        <w:t xml:space="preserve"> </w:t>
      </w:r>
      <w:r w:rsidR="009808B3" w:rsidRPr="001D0AA5">
        <w:rPr>
          <w:rFonts w:ascii="Times New Roman" w:hAnsi="Times New Roman" w:cs="Times New Roman"/>
          <w:lang w:val="en-US"/>
        </w:rPr>
        <w:t xml:space="preserve">both as structures </w:t>
      </w:r>
      <w:r w:rsidR="00A12AAA" w:rsidRPr="001D0AA5">
        <w:rPr>
          <w:rFonts w:ascii="Times New Roman" w:hAnsi="Times New Roman" w:cs="Times New Roman"/>
          <w:lang w:val="en-US"/>
        </w:rPr>
        <w:t>and</w:t>
      </w:r>
      <w:r w:rsidR="009808B3" w:rsidRPr="001D0AA5">
        <w:rPr>
          <w:rFonts w:ascii="Times New Roman" w:hAnsi="Times New Roman" w:cs="Times New Roman"/>
          <w:lang w:val="en-US"/>
        </w:rPr>
        <w:t xml:space="preserve"> as relational spaces that generate complex dynamics between people when they embody and exercise different social roles. </w:t>
      </w:r>
    </w:p>
    <w:p w14:paraId="3EBEE4A7" w14:textId="13C4DC96" w:rsidR="007C0F14" w:rsidRPr="00560C95" w:rsidRDefault="001F4A41" w:rsidP="00B50F9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Results which will be </w:t>
      </w:r>
      <w:r w:rsidR="00093BD2">
        <w:rPr>
          <w:rFonts w:ascii="Times New Roman" w:hAnsi="Times New Roman" w:cs="Times New Roman"/>
          <w:lang w:val="en-US"/>
        </w:rPr>
        <w:t>shown and discussed during th</w:t>
      </w:r>
      <w:r w:rsidR="008F5CED">
        <w:rPr>
          <w:rFonts w:ascii="Times New Roman" w:hAnsi="Times New Roman" w:cs="Times New Roman"/>
          <w:lang w:val="en-US"/>
        </w:rPr>
        <w:t xml:space="preserve">e Conference </w:t>
      </w:r>
      <w:r w:rsidR="003F1B12">
        <w:rPr>
          <w:rFonts w:ascii="Times New Roman" w:hAnsi="Times New Roman" w:cs="Times New Roman"/>
          <w:lang w:val="en-US"/>
        </w:rPr>
        <w:t xml:space="preserve">suggest </w:t>
      </w:r>
      <w:r w:rsidR="00DE7D21">
        <w:rPr>
          <w:rFonts w:ascii="Times New Roman" w:hAnsi="Times New Roman" w:cs="Times New Roman"/>
          <w:lang w:val="en-US"/>
        </w:rPr>
        <w:t xml:space="preserve">the presence of a medical and childish language (in Italy in particular), the absence in Italy of </w:t>
      </w:r>
      <w:r w:rsidR="00985F79">
        <w:rPr>
          <w:rFonts w:ascii="Times New Roman" w:hAnsi="Times New Roman" w:cs="Times New Roman"/>
          <w:lang w:val="en-US"/>
        </w:rPr>
        <w:t xml:space="preserve">a sort of support to become adult and a sort of </w:t>
      </w:r>
      <w:r w:rsidR="00560C95">
        <w:rPr>
          <w:rFonts w:ascii="Times New Roman" w:hAnsi="Times New Roman" w:cs="Times New Roman"/>
          <w:lang w:val="en-US"/>
        </w:rPr>
        <w:t>endless</w:t>
      </w:r>
      <w:r w:rsidR="00486F2D">
        <w:rPr>
          <w:rFonts w:ascii="Times New Roman" w:hAnsi="Times New Roman" w:cs="Times New Roman"/>
          <w:lang w:val="en-US"/>
        </w:rPr>
        <w:t xml:space="preserve"> </w:t>
      </w:r>
      <w:r w:rsidR="00560C95">
        <w:rPr>
          <w:rFonts w:ascii="Times New Roman" w:hAnsi="Times New Roman" w:cs="Times New Roman"/>
          <w:i/>
          <w:lang w:val="en-US"/>
        </w:rPr>
        <w:t>mothering</w:t>
      </w:r>
      <w:r w:rsidR="00486F2D">
        <w:rPr>
          <w:rFonts w:ascii="Times New Roman" w:hAnsi="Times New Roman" w:cs="Times New Roman"/>
          <w:i/>
          <w:lang w:val="en-US"/>
        </w:rPr>
        <w:t xml:space="preserve"> </w:t>
      </w:r>
      <w:r w:rsidR="00486F2D">
        <w:rPr>
          <w:rFonts w:ascii="Times New Roman" w:hAnsi="Times New Roman" w:cs="Times New Roman"/>
          <w:lang w:val="en-US"/>
        </w:rPr>
        <w:t>in the three c</w:t>
      </w:r>
      <w:r w:rsidR="00082645">
        <w:rPr>
          <w:rFonts w:ascii="Times New Roman" w:hAnsi="Times New Roman" w:cs="Times New Roman"/>
          <w:lang w:val="en-US"/>
        </w:rPr>
        <w:t xml:space="preserve">ountries involved in the study </w:t>
      </w:r>
      <w:r w:rsidR="0022139D">
        <w:rPr>
          <w:rFonts w:ascii="Times New Roman" w:hAnsi="Times New Roman" w:cs="Times New Roman"/>
          <w:lang w:val="en-US"/>
        </w:rPr>
        <w:t xml:space="preserve">(Guerini, 2020). </w:t>
      </w:r>
    </w:p>
    <w:p w14:paraId="277CE518" w14:textId="77777777" w:rsidR="003E3B25" w:rsidRPr="00560C95" w:rsidRDefault="003E3B25" w:rsidP="00B50F95">
      <w:pPr>
        <w:jc w:val="both"/>
        <w:rPr>
          <w:rFonts w:ascii="Times New Roman" w:hAnsi="Times New Roman" w:cs="Times New Roman"/>
          <w:lang w:val="en-US"/>
        </w:rPr>
      </w:pPr>
    </w:p>
    <w:p w14:paraId="76E68883" w14:textId="30E4C404" w:rsidR="0012017C" w:rsidRPr="0055421B" w:rsidRDefault="003E3B25" w:rsidP="0012017C">
      <w:pPr>
        <w:jc w:val="both"/>
        <w:rPr>
          <w:rFonts w:ascii="Times New Roman" w:hAnsi="Times New Roman" w:cs="Times New Roman"/>
          <w:b/>
          <w:lang w:val="en-US"/>
        </w:rPr>
      </w:pPr>
      <w:r w:rsidRPr="0055421B">
        <w:rPr>
          <w:rFonts w:ascii="Times New Roman" w:hAnsi="Times New Roman" w:cs="Times New Roman"/>
          <w:b/>
          <w:lang w:val="en-US"/>
        </w:rPr>
        <w:t>References</w:t>
      </w:r>
    </w:p>
    <w:p w14:paraId="478A50A3" w14:textId="77777777" w:rsidR="00891B7C" w:rsidRPr="001D0AA5" w:rsidRDefault="00891B7C" w:rsidP="00891B7C">
      <w:pPr>
        <w:ind w:left="284" w:hanging="284"/>
        <w:rPr>
          <w:rFonts w:ascii="Times New Roman" w:hAnsi="Times New Roman" w:cs="Times New Roman"/>
          <w:lang w:val="en-US"/>
        </w:rPr>
      </w:pPr>
    </w:p>
    <w:p w14:paraId="204456D5" w14:textId="55578DA3" w:rsidR="00891B7C" w:rsidRPr="001D0AA5" w:rsidRDefault="00891B7C" w:rsidP="00B84BB1">
      <w:pPr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891B7C">
        <w:rPr>
          <w:rFonts w:ascii="Times New Roman" w:hAnsi="Times New Roman" w:cs="Times New Roman"/>
          <w:lang w:val="en-US"/>
        </w:rPr>
        <w:t>Barnes C., Oliver M.</w:t>
      </w:r>
      <w:r>
        <w:rPr>
          <w:rFonts w:ascii="Times New Roman" w:hAnsi="Times New Roman" w:cs="Times New Roman"/>
          <w:lang w:val="en-US"/>
        </w:rPr>
        <w:t xml:space="preserve"> &amp;</w:t>
      </w:r>
      <w:r w:rsidRPr="00891B7C">
        <w:rPr>
          <w:rFonts w:ascii="Times New Roman" w:hAnsi="Times New Roman" w:cs="Times New Roman"/>
          <w:lang w:val="en-US"/>
        </w:rPr>
        <w:t xml:space="preserve"> Barton L.</w:t>
      </w:r>
      <w:r>
        <w:rPr>
          <w:rFonts w:ascii="Times New Roman" w:hAnsi="Times New Roman" w:cs="Times New Roman"/>
          <w:lang w:val="en-US"/>
        </w:rPr>
        <w:t xml:space="preserve"> (2002). </w:t>
      </w:r>
      <w:r w:rsidRPr="00891B7C">
        <w:rPr>
          <w:rFonts w:ascii="Times New Roman" w:hAnsi="Times New Roman" w:cs="Times New Roman"/>
          <w:i/>
          <w:iCs/>
          <w:lang w:val="en-US"/>
        </w:rPr>
        <w:t>Disability Studies Today</w:t>
      </w:r>
      <w:r>
        <w:rPr>
          <w:rFonts w:ascii="Times New Roman" w:hAnsi="Times New Roman" w:cs="Times New Roman"/>
          <w:lang w:val="en-US"/>
        </w:rPr>
        <w:t>.</w:t>
      </w:r>
      <w:r w:rsidRPr="00891B7C">
        <w:rPr>
          <w:rFonts w:ascii="Times New Roman" w:hAnsi="Times New Roman" w:cs="Times New Roman"/>
          <w:lang w:val="en-US"/>
        </w:rPr>
        <w:t xml:space="preserve"> </w:t>
      </w:r>
      <w:r w:rsidRPr="001D0AA5">
        <w:rPr>
          <w:rFonts w:ascii="Times New Roman" w:hAnsi="Times New Roman" w:cs="Times New Roman"/>
          <w:lang w:val="en-US"/>
        </w:rPr>
        <w:t xml:space="preserve">Cambridge: Polity Press. </w:t>
      </w:r>
    </w:p>
    <w:p w14:paraId="0E60FF33" w14:textId="527F42DC" w:rsidR="00891B7C" w:rsidRPr="001D0AA5" w:rsidRDefault="00891B7C" w:rsidP="0030298D">
      <w:pPr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891B7C">
        <w:rPr>
          <w:rFonts w:ascii="Times New Roman" w:hAnsi="Times New Roman" w:cs="Times New Roman"/>
        </w:rPr>
        <w:t>Bocci F.</w:t>
      </w:r>
      <w:r>
        <w:rPr>
          <w:rFonts w:ascii="Times New Roman" w:hAnsi="Times New Roman" w:cs="Times New Roman"/>
        </w:rPr>
        <w:t xml:space="preserve"> &amp;</w:t>
      </w:r>
      <w:r w:rsidRPr="00891B7C">
        <w:rPr>
          <w:rFonts w:ascii="Times New Roman" w:hAnsi="Times New Roman" w:cs="Times New Roman"/>
        </w:rPr>
        <w:t xml:space="preserve"> Gueli C.</w:t>
      </w:r>
      <w:r>
        <w:rPr>
          <w:rFonts w:ascii="Times New Roman" w:hAnsi="Times New Roman" w:cs="Times New Roman"/>
        </w:rPr>
        <w:t xml:space="preserve"> (2019).</w:t>
      </w:r>
      <w:r w:rsidRPr="00891B7C">
        <w:rPr>
          <w:rFonts w:ascii="Times New Roman" w:hAnsi="Times New Roman" w:cs="Times New Roman"/>
        </w:rPr>
        <w:t xml:space="preserve"> Il rapporto dialettico tra discorso medico e discorso pedagogico.</w:t>
      </w:r>
      <w:r w:rsidR="00921528">
        <w:rPr>
          <w:rFonts w:ascii="Times New Roman" w:hAnsi="Times New Roman" w:cs="Times New Roman"/>
        </w:rPr>
        <w:t xml:space="preserve"> </w:t>
      </w:r>
      <w:r w:rsidRPr="001D0AA5">
        <w:rPr>
          <w:rFonts w:ascii="Times New Roman" w:hAnsi="Times New Roman" w:cs="Times New Roman"/>
          <w:i/>
          <w:iCs/>
          <w:lang w:val="en-US"/>
        </w:rPr>
        <w:t xml:space="preserve">Nuova </w:t>
      </w:r>
      <w:proofErr w:type="spellStart"/>
      <w:r w:rsidRPr="001D0AA5">
        <w:rPr>
          <w:rFonts w:ascii="Times New Roman" w:hAnsi="Times New Roman" w:cs="Times New Roman"/>
          <w:i/>
          <w:iCs/>
          <w:lang w:val="en-US"/>
        </w:rPr>
        <w:t>Secondaria</w:t>
      </w:r>
      <w:proofErr w:type="spellEnd"/>
      <w:r w:rsidRPr="001D0AA5">
        <w:rPr>
          <w:rFonts w:ascii="Times New Roman" w:hAnsi="Times New Roman" w:cs="Times New Roman"/>
          <w:lang w:val="en-US"/>
        </w:rPr>
        <w:t xml:space="preserve">, </w:t>
      </w:r>
      <w:r w:rsidR="00B84BB1" w:rsidRPr="001D0AA5">
        <w:rPr>
          <w:rFonts w:ascii="Times New Roman" w:hAnsi="Times New Roman" w:cs="Times New Roman"/>
          <w:lang w:val="en-US"/>
        </w:rPr>
        <w:t>37(</w:t>
      </w:r>
      <w:r w:rsidRPr="001D0AA5">
        <w:rPr>
          <w:rFonts w:ascii="Times New Roman" w:hAnsi="Times New Roman" w:cs="Times New Roman"/>
          <w:lang w:val="en-US"/>
        </w:rPr>
        <w:t>3</w:t>
      </w:r>
      <w:r w:rsidR="00B84BB1" w:rsidRPr="001D0AA5">
        <w:rPr>
          <w:rFonts w:ascii="Times New Roman" w:hAnsi="Times New Roman" w:cs="Times New Roman"/>
          <w:lang w:val="en-US"/>
        </w:rPr>
        <w:t>):</w:t>
      </w:r>
      <w:r w:rsidRPr="001D0AA5">
        <w:rPr>
          <w:rFonts w:ascii="Times New Roman" w:hAnsi="Times New Roman" w:cs="Times New Roman"/>
          <w:lang w:val="en-US"/>
        </w:rPr>
        <w:t xml:space="preserve"> 93-107.</w:t>
      </w:r>
    </w:p>
    <w:p w14:paraId="3A2AEE6A" w14:textId="15061017" w:rsidR="00891B7C" w:rsidRPr="00891B7C" w:rsidRDefault="00891B7C" w:rsidP="00B84BB1">
      <w:pPr>
        <w:ind w:left="284" w:hanging="284"/>
        <w:jc w:val="both"/>
        <w:rPr>
          <w:rFonts w:ascii="Times New Roman" w:hAnsi="Times New Roman" w:cs="Times New Roman"/>
        </w:rPr>
      </w:pPr>
      <w:r w:rsidRPr="00891B7C">
        <w:rPr>
          <w:rFonts w:ascii="Times New Roman" w:hAnsi="Times New Roman" w:cs="Times New Roman"/>
          <w:lang w:val="en-US"/>
        </w:rPr>
        <w:t xml:space="preserve">Creswell J. W. &amp; Plano Clark V. L. (2011). </w:t>
      </w:r>
      <w:r w:rsidRPr="001D0AA5">
        <w:rPr>
          <w:rFonts w:ascii="Times New Roman" w:hAnsi="Times New Roman" w:cs="Times New Roman"/>
          <w:i/>
          <w:iCs/>
          <w:lang w:val="en-US"/>
        </w:rPr>
        <w:t>Designing and Conducting Mixed Methods Research</w:t>
      </w:r>
      <w:r w:rsidRPr="001D0AA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91B7C">
        <w:rPr>
          <w:rFonts w:ascii="Times New Roman" w:hAnsi="Times New Roman" w:cs="Times New Roman"/>
        </w:rPr>
        <w:t>Thousand</w:t>
      </w:r>
      <w:proofErr w:type="spellEnd"/>
      <w:r w:rsidRPr="00891B7C">
        <w:rPr>
          <w:rFonts w:ascii="Times New Roman" w:hAnsi="Times New Roman" w:cs="Times New Roman"/>
        </w:rPr>
        <w:t xml:space="preserve"> Oaks, CA: </w:t>
      </w:r>
      <w:proofErr w:type="spellStart"/>
      <w:r w:rsidRPr="00891B7C">
        <w:rPr>
          <w:rFonts w:ascii="Times New Roman" w:hAnsi="Times New Roman" w:cs="Times New Roman"/>
        </w:rPr>
        <w:t>Sage</w:t>
      </w:r>
      <w:proofErr w:type="spellEnd"/>
      <w:r w:rsidRPr="00891B7C">
        <w:rPr>
          <w:rFonts w:ascii="Times New Roman" w:hAnsi="Times New Roman" w:cs="Times New Roman"/>
        </w:rPr>
        <w:t xml:space="preserve"> Publications.</w:t>
      </w:r>
    </w:p>
    <w:p w14:paraId="296CE007" w14:textId="24A3FCBA" w:rsidR="00891B7C" w:rsidRPr="00891B7C" w:rsidRDefault="00891B7C" w:rsidP="00B84BB1">
      <w:pPr>
        <w:ind w:left="284" w:hanging="284"/>
        <w:jc w:val="both"/>
        <w:rPr>
          <w:rFonts w:ascii="Times New Roman" w:hAnsi="Times New Roman" w:cs="Times New Roman"/>
        </w:rPr>
      </w:pPr>
      <w:r w:rsidRPr="00891B7C">
        <w:rPr>
          <w:rFonts w:ascii="Times New Roman" w:hAnsi="Times New Roman" w:cs="Times New Roman"/>
        </w:rPr>
        <w:t>Guerini I</w:t>
      </w:r>
      <w:r w:rsidR="00B84BB1">
        <w:rPr>
          <w:rFonts w:ascii="Times New Roman" w:hAnsi="Times New Roman" w:cs="Times New Roman"/>
        </w:rPr>
        <w:t>.</w:t>
      </w:r>
      <w:r w:rsidRPr="00891B7C">
        <w:rPr>
          <w:rFonts w:ascii="Times New Roman" w:hAnsi="Times New Roman" w:cs="Times New Roman"/>
        </w:rPr>
        <w:t xml:space="preserve"> (2020). </w:t>
      </w:r>
      <w:r w:rsidRPr="00B84BB1">
        <w:rPr>
          <w:rFonts w:ascii="Times New Roman" w:hAnsi="Times New Roman" w:cs="Times New Roman"/>
          <w:i/>
          <w:iCs/>
        </w:rPr>
        <w:t>Quale inclusione?</w:t>
      </w:r>
      <w:r w:rsidRPr="00891B7C">
        <w:rPr>
          <w:rFonts w:ascii="Times New Roman" w:hAnsi="Times New Roman" w:cs="Times New Roman"/>
        </w:rPr>
        <w:t xml:space="preserve"> Milano: </w:t>
      </w:r>
      <w:proofErr w:type="spellStart"/>
      <w:r w:rsidRPr="00891B7C">
        <w:rPr>
          <w:rFonts w:ascii="Times New Roman" w:hAnsi="Times New Roman" w:cs="Times New Roman"/>
        </w:rPr>
        <w:t>FrancoAnegli</w:t>
      </w:r>
      <w:proofErr w:type="spellEnd"/>
      <w:r w:rsidRPr="00891B7C">
        <w:rPr>
          <w:rFonts w:ascii="Times New Roman" w:hAnsi="Times New Roman" w:cs="Times New Roman"/>
        </w:rPr>
        <w:t>.</w:t>
      </w:r>
    </w:p>
    <w:p w14:paraId="50DB488E" w14:textId="3173B734" w:rsidR="00891B7C" w:rsidRPr="00891B7C" w:rsidRDefault="00891B7C" w:rsidP="00B84BB1">
      <w:pPr>
        <w:ind w:left="284" w:hanging="284"/>
        <w:jc w:val="both"/>
        <w:rPr>
          <w:rFonts w:ascii="Times New Roman" w:hAnsi="Times New Roman" w:cs="Times New Roman"/>
        </w:rPr>
      </w:pPr>
      <w:r w:rsidRPr="00891B7C">
        <w:rPr>
          <w:rFonts w:ascii="Times New Roman" w:hAnsi="Times New Roman" w:cs="Times New Roman"/>
        </w:rPr>
        <w:t>Hess R.</w:t>
      </w:r>
      <w:r w:rsidR="00B84BB1">
        <w:rPr>
          <w:rFonts w:ascii="Times New Roman" w:hAnsi="Times New Roman" w:cs="Times New Roman"/>
        </w:rPr>
        <w:t xml:space="preserve"> &amp;</w:t>
      </w:r>
      <w:r w:rsidRPr="00891B7C">
        <w:rPr>
          <w:rFonts w:ascii="Times New Roman" w:hAnsi="Times New Roman" w:cs="Times New Roman"/>
        </w:rPr>
        <w:t xml:space="preserve"> Weigand G.</w:t>
      </w:r>
      <w:r w:rsidR="00B84BB1">
        <w:rPr>
          <w:rFonts w:ascii="Times New Roman" w:hAnsi="Times New Roman" w:cs="Times New Roman"/>
        </w:rPr>
        <w:t xml:space="preserve"> (2008).</w:t>
      </w:r>
      <w:r w:rsidRPr="00891B7C">
        <w:rPr>
          <w:rFonts w:ascii="Times New Roman" w:hAnsi="Times New Roman" w:cs="Times New Roman"/>
        </w:rPr>
        <w:t xml:space="preserve"> </w:t>
      </w:r>
      <w:r w:rsidRPr="00B84BB1">
        <w:rPr>
          <w:rFonts w:ascii="Times New Roman" w:hAnsi="Times New Roman" w:cs="Times New Roman"/>
          <w:i/>
          <w:iCs/>
        </w:rPr>
        <w:t>Corso di analisi istituzionale</w:t>
      </w:r>
      <w:r w:rsidR="00B84BB1">
        <w:rPr>
          <w:rFonts w:ascii="Times New Roman" w:hAnsi="Times New Roman" w:cs="Times New Roman"/>
        </w:rPr>
        <w:t>. Roma:</w:t>
      </w:r>
      <w:r w:rsidRPr="00891B7C">
        <w:rPr>
          <w:rFonts w:ascii="Times New Roman" w:hAnsi="Times New Roman" w:cs="Times New Roman"/>
        </w:rPr>
        <w:t xml:space="preserve"> Sensibili alle foglie.</w:t>
      </w:r>
    </w:p>
    <w:p w14:paraId="077B4B87" w14:textId="049C9AED" w:rsidR="00891B7C" w:rsidRPr="00B84BB1" w:rsidRDefault="00891B7C" w:rsidP="00B84BB1">
      <w:pPr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891B7C">
        <w:rPr>
          <w:rFonts w:ascii="Times New Roman" w:hAnsi="Times New Roman" w:cs="Times New Roman"/>
        </w:rPr>
        <w:t>Ianes D., Demo H</w:t>
      </w:r>
      <w:r w:rsidR="00B84BB1">
        <w:rPr>
          <w:rFonts w:ascii="Times New Roman" w:hAnsi="Times New Roman" w:cs="Times New Roman"/>
        </w:rPr>
        <w:t>. &amp;</w:t>
      </w:r>
      <w:r w:rsidRPr="00891B7C">
        <w:rPr>
          <w:rFonts w:ascii="Times New Roman" w:hAnsi="Times New Roman" w:cs="Times New Roman"/>
        </w:rPr>
        <w:t xml:space="preserve"> Dell’Anna </w:t>
      </w:r>
      <w:r w:rsidR="00B84BB1">
        <w:rPr>
          <w:rFonts w:ascii="Times New Roman" w:hAnsi="Times New Roman" w:cs="Times New Roman"/>
        </w:rPr>
        <w:t xml:space="preserve">S. </w:t>
      </w:r>
      <w:r w:rsidRPr="00891B7C">
        <w:rPr>
          <w:rFonts w:ascii="Times New Roman" w:hAnsi="Times New Roman" w:cs="Times New Roman"/>
        </w:rPr>
        <w:t xml:space="preserve">(2020). </w:t>
      </w:r>
      <w:r w:rsidRPr="001D0AA5">
        <w:rPr>
          <w:rFonts w:ascii="Times New Roman" w:hAnsi="Times New Roman" w:cs="Times New Roman"/>
          <w:lang w:val="en-US"/>
        </w:rPr>
        <w:t xml:space="preserve">Inclusive education in Italy. </w:t>
      </w:r>
      <w:r w:rsidRPr="00B84BB1">
        <w:rPr>
          <w:rFonts w:ascii="Times New Roman" w:hAnsi="Times New Roman" w:cs="Times New Roman"/>
          <w:lang w:val="en-US"/>
        </w:rPr>
        <w:t>Prospects, 49(3-4)</w:t>
      </w:r>
      <w:r w:rsidR="00B84BB1" w:rsidRPr="00B84BB1">
        <w:rPr>
          <w:rFonts w:ascii="Times New Roman" w:hAnsi="Times New Roman" w:cs="Times New Roman"/>
          <w:lang w:val="en-US"/>
        </w:rPr>
        <w:t>:</w:t>
      </w:r>
      <w:r w:rsidRPr="00B84BB1">
        <w:rPr>
          <w:rFonts w:ascii="Times New Roman" w:hAnsi="Times New Roman" w:cs="Times New Roman"/>
          <w:lang w:val="en-US"/>
        </w:rPr>
        <w:t xml:space="preserve"> 249-263.</w:t>
      </w:r>
    </w:p>
    <w:p w14:paraId="2C3DAA05" w14:textId="43E57BB1" w:rsidR="00891B7C" w:rsidRPr="001D0AA5" w:rsidRDefault="00891B7C" w:rsidP="00AC4411">
      <w:pPr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891B7C">
        <w:rPr>
          <w:rFonts w:ascii="Times New Roman" w:hAnsi="Times New Roman" w:cs="Times New Roman"/>
          <w:lang w:val="en-US"/>
        </w:rPr>
        <w:t>Lapassade G.</w:t>
      </w:r>
      <w:r w:rsidR="00B84BB1">
        <w:rPr>
          <w:rFonts w:ascii="Times New Roman" w:hAnsi="Times New Roman" w:cs="Times New Roman"/>
          <w:lang w:val="en-US"/>
        </w:rPr>
        <w:t xml:space="preserve"> (1972).</w:t>
      </w:r>
      <w:r w:rsidRPr="00891B7C">
        <w:rPr>
          <w:rFonts w:ascii="Times New Roman" w:hAnsi="Times New Roman" w:cs="Times New Roman"/>
          <w:lang w:val="en-US"/>
        </w:rPr>
        <w:t xml:space="preserve"> L’analyse institutionnelle et l’intervention</w:t>
      </w:r>
      <w:r w:rsidR="00B84BB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D0AA5">
        <w:rPr>
          <w:rFonts w:ascii="Times New Roman" w:hAnsi="Times New Roman" w:cs="Times New Roman"/>
          <w:i/>
          <w:iCs/>
          <w:lang w:val="en-US"/>
        </w:rPr>
        <w:t>Connexions</w:t>
      </w:r>
      <w:proofErr w:type="spellEnd"/>
      <w:r w:rsidRPr="001D0AA5">
        <w:rPr>
          <w:rFonts w:ascii="Times New Roman" w:hAnsi="Times New Roman" w:cs="Times New Roman"/>
          <w:lang w:val="en-US"/>
        </w:rPr>
        <w:t>, 4</w:t>
      </w:r>
      <w:r w:rsidR="00B84BB1" w:rsidRPr="001D0AA5">
        <w:rPr>
          <w:rFonts w:ascii="Times New Roman" w:hAnsi="Times New Roman" w:cs="Times New Roman"/>
          <w:lang w:val="en-US"/>
        </w:rPr>
        <w:t xml:space="preserve">: </w:t>
      </w:r>
      <w:r w:rsidRPr="001D0AA5">
        <w:rPr>
          <w:rFonts w:ascii="Times New Roman" w:hAnsi="Times New Roman" w:cs="Times New Roman"/>
          <w:lang w:val="en-US"/>
        </w:rPr>
        <w:t>65-106.</w:t>
      </w:r>
    </w:p>
    <w:p w14:paraId="54B04C4B" w14:textId="79AA8C84" w:rsidR="00891B7C" w:rsidRPr="001D0AA5" w:rsidRDefault="00891B7C" w:rsidP="00B84BB1">
      <w:pPr>
        <w:ind w:left="284" w:hanging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891B7C">
        <w:rPr>
          <w:rFonts w:ascii="Times New Roman" w:hAnsi="Times New Roman" w:cs="Times New Roman"/>
        </w:rPr>
        <w:t>Medeghini</w:t>
      </w:r>
      <w:proofErr w:type="spellEnd"/>
      <w:r w:rsidRPr="00891B7C">
        <w:rPr>
          <w:rFonts w:ascii="Times New Roman" w:hAnsi="Times New Roman" w:cs="Times New Roman"/>
        </w:rPr>
        <w:t xml:space="preserve"> R.</w:t>
      </w:r>
      <w:r w:rsidR="00B84BB1">
        <w:rPr>
          <w:rFonts w:ascii="Times New Roman" w:hAnsi="Times New Roman" w:cs="Times New Roman"/>
        </w:rPr>
        <w:t xml:space="preserve"> &amp; al. (2013).</w:t>
      </w:r>
      <w:r w:rsidRPr="00891B7C">
        <w:rPr>
          <w:rFonts w:ascii="Times New Roman" w:hAnsi="Times New Roman" w:cs="Times New Roman"/>
        </w:rPr>
        <w:t xml:space="preserve"> </w:t>
      </w:r>
      <w:r w:rsidRPr="00B84BB1">
        <w:rPr>
          <w:rFonts w:ascii="Times New Roman" w:hAnsi="Times New Roman" w:cs="Times New Roman"/>
          <w:i/>
          <w:iCs/>
        </w:rPr>
        <w:t>Disability Studies</w:t>
      </w:r>
      <w:r w:rsidR="00AC4411">
        <w:rPr>
          <w:rFonts w:ascii="Times New Roman" w:hAnsi="Times New Roman" w:cs="Times New Roman"/>
        </w:rPr>
        <w:t xml:space="preserve">. </w:t>
      </w:r>
      <w:r w:rsidR="00B84BB1" w:rsidRPr="001D0AA5">
        <w:rPr>
          <w:rFonts w:ascii="Times New Roman" w:hAnsi="Times New Roman" w:cs="Times New Roman"/>
          <w:lang w:val="en-US"/>
        </w:rPr>
        <w:t xml:space="preserve">Trento: </w:t>
      </w:r>
      <w:r w:rsidRPr="001D0AA5">
        <w:rPr>
          <w:rFonts w:ascii="Times New Roman" w:hAnsi="Times New Roman" w:cs="Times New Roman"/>
          <w:lang w:val="en-US"/>
        </w:rPr>
        <w:t>Erickson.</w:t>
      </w:r>
    </w:p>
    <w:p w14:paraId="0A6BC838" w14:textId="2D1334DF" w:rsidR="00891B7C" w:rsidRPr="001D0AA5" w:rsidRDefault="00891B7C" w:rsidP="00B84BB1">
      <w:pPr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1D0AA5">
        <w:rPr>
          <w:rFonts w:ascii="Times New Roman" w:hAnsi="Times New Roman" w:cs="Times New Roman"/>
          <w:lang w:val="en-US"/>
        </w:rPr>
        <w:t xml:space="preserve">Melzer J. (2019). </w:t>
      </w:r>
      <w:proofErr w:type="spellStart"/>
      <w:r w:rsidRPr="001D0AA5">
        <w:rPr>
          <w:rFonts w:ascii="Times New Roman" w:hAnsi="Times New Roman" w:cs="Times New Roman"/>
          <w:lang w:val="en-US"/>
        </w:rPr>
        <w:t>Eine</w:t>
      </w:r>
      <w:proofErr w:type="spellEnd"/>
      <w:r w:rsidRPr="001D0A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D0AA5">
        <w:rPr>
          <w:rFonts w:ascii="Times New Roman" w:hAnsi="Times New Roman" w:cs="Times New Roman"/>
          <w:lang w:val="en-US"/>
        </w:rPr>
        <w:t>Schule</w:t>
      </w:r>
      <w:proofErr w:type="spellEnd"/>
      <w:r w:rsidRPr="001D0A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D0AA5">
        <w:rPr>
          <w:rFonts w:ascii="Times New Roman" w:hAnsi="Times New Roman" w:cs="Times New Roman"/>
          <w:lang w:val="en-US"/>
        </w:rPr>
        <w:t>für</w:t>
      </w:r>
      <w:proofErr w:type="spellEnd"/>
      <w:r w:rsidRPr="001D0A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D0AA5">
        <w:rPr>
          <w:rFonts w:ascii="Times New Roman" w:hAnsi="Times New Roman" w:cs="Times New Roman"/>
          <w:lang w:val="en-US"/>
        </w:rPr>
        <w:t>alle</w:t>
      </w:r>
      <w:proofErr w:type="spellEnd"/>
      <w:r w:rsidRPr="001D0A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D0AA5">
        <w:rPr>
          <w:rFonts w:ascii="Times New Roman" w:hAnsi="Times New Roman" w:cs="Times New Roman"/>
          <w:lang w:val="en-US"/>
        </w:rPr>
        <w:t>oder</w:t>
      </w:r>
      <w:proofErr w:type="spellEnd"/>
      <w:r w:rsidRPr="001D0A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D0AA5">
        <w:rPr>
          <w:rFonts w:ascii="Times New Roman" w:hAnsi="Times New Roman" w:cs="Times New Roman"/>
          <w:lang w:val="en-US"/>
        </w:rPr>
        <w:t>Wie</w:t>
      </w:r>
      <w:proofErr w:type="spellEnd"/>
      <w:r w:rsidRPr="001D0A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D0AA5">
        <w:rPr>
          <w:rFonts w:ascii="Times New Roman" w:hAnsi="Times New Roman" w:cs="Times New Roman"/>
          <w:lang w:val="en-US"/>
        </w:rPr>
        <w:t>inklusive</w:t>
      </w:r>
      <w:proofErr w:type="spellEnd"/>
      <w:r w:rsidRPr="001D0A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D0AA5">
        <w:rPr>
          <w:rFonts w:ascii="Times New Roman" w:hAnsi="Times New Roman" w:cs="Times New Roman"/>
          <w:lang w:val="en-US"/>
        </w:rPr>
        <w:t>Bildung</w:t>
      </w:r>
      <w:proofErr w:type="spellEnd"/>
      <w:r w:rsidRPr="001D0A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D0AA5">
        <w:rPr>
          <w:rFonts w:ascii="Times New Roman" w:hAnsi="Times New Roman" w:cs="Times New Roman"/>
          <w:lang w:val="en-US"/>
        </w:rPr>
        <w:t>gelingen</w:t>
      </w:r>
      <w:proofErr w:type="spellEnd"/>
      <w:r w:rsidRPr="001D0A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D0AA5">
        <w:rPr>
          <w:rFonts w:ascii="Times New Roman" w:hAnsi="Times New Roman" w:cs="Times New Roman"/>
          <w:lang w:val="en-US"/>
        </w:rPr>
        <w:t>kann</w:t>
      </w:r>
      <w:proofErr w:type="spellEnd"/>
      <w:r w:rsidRPr="001D0AA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D0AA5">
        <w:rPr>
          <w:rFonts w:ascii="Times New Roman" w:hAnsi="Times New Roman" w:cs="Times New Roman"/>
          <w:i/>
          <w:iCs/>
          <w:lang w:val="en-US"/>
        </w:rPr>
        <w:t>Pädagogische</w:t>
      </w:r>
      <w:proofErr w:type="spellEnd"/>
      <w:r w:rsidRPr="001D0AA5">
        <w:rPr>
          <w:rFonts w:ascii="Times New Roman" w:hAnsi="Times New Roman" w:cs="Times New Roman"/>
          <w:i/>
          <w:iCs/>
          <w:lang w:val="en-US"/>
        </w:rPr>
        <w:t xml:space="preserve"> Horizonte</w:t>
      </w:r>
      <w:r w:rsidRPr="001D0AA5">
        <w:rPr>
          <w:rFonts w:ascii="Times New Roman" w:hAnsi="Times New Roman" w:cs="Times New Roman"/>
          <w:lang w:val="en-US"/>
        </w:rPr>
        <w:t>, 3(1)</w:t>
      </w:r>
      <w:r w:rsidR="00B84BB1" w:rsidRPr="001D0AA5">
        <w:rPr>
          <w:rFonts w:ascii="Times New Roman" w:hAnsi="Times New Roman" w:cs="Times New Roman"/>
          <w:lang w:val="en-US"/>
        </w:rPr>
        <w:t>:</w:t>
      </w:r>
      <w:r w:rsidRPr="001D0AA5">
        <w:rPr>
          <w:rFonts w:ascii="Times New Roman" w:hAnsi="Times New Roman" w:cs="Times New Roman"/>
          <w:lang w:val="en-US"/>
        </w:rPr>
        <w:t xml:space="preserve"> 129-148.</w:t>
      </w:r>
    </w:p>
    <w:p w14:paraId="0C960C51" w14:textId="4CE1AF5A" w:rsidR="00891B7C" w:rsidRPr="001D0AA5" w:rsidRDefault="00891B7C" w:rsidP="00B84BB1">
      <w:pPr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1D0AA5">
        <w:rPr>
          <w:rFonts w:ascii="Times New Roman" w:hAnsi="Times New Roman" w:cs="Times New Roman"/>
          <w:lang w:val="en-US"/>
        </w:rPr>
        <w:t xml:space="preserve">United Nations (2006). </w:t>
      </w:r>
      <w:r w:rsidRPr="001D0AA5">
        <w:rPr>
          <w:rFonts w:ascii="Times New Roman" w:hAnsi="Times New Roman" w:cs="Times New Roman"/>
          <w:i/>
          <w:iCs/>
          <w:lang w:val="en-US"/>
        </w:rPr>
        <w:t>Convention on the Rights of Persons with Disabilities</w:t>
      </w:r>
      <w:r w:rsidRPr="001D0AA5">
        <w:rPr>
          <w:rFonts w:ascii="Times New Roman" w:hAnsi="Times New Roman" w:cs="Times New Roman"/>
          <w:lang w:val="en-US"/>
        </w:rPr>
        <w:t>.</w:t>
      </w:r>
    </w:p>
    <w:p w14:paraId="7B9BB8A4" w14:textId="77777777" w:rsidR="00FC019F" w:rsidRPr="001D0AA5" w:rsidRDefault="00FC019F" w:rsidP="00B84BB1">
      <w:pPr>
        <w:ind w:left="284" w:hanging="284"/>
        <w:jc w:val="both"/>
        <w:rPr>
          <w:rFonts w:ascii="Times New Roman" w:hAnsi="Times New Roman" w:cs="Times New Roman"/>
          <w:lang w:val="en-US"/>
        </w:rPr>
      </w:pPr>
    </w:p>
    <w:p w14:paraId="5A8824A9" w14:textId="5B5E7D6A" w:rsidR="0080652F" w:rsidRPr="00FC019F" w:rsidRDefault="0080652F" w:rsidP="0080652F">
      <w:pPr>
        <w:jc w:val="both"/>
        <w:rPr>
          <w:rFonts w:ascii="Times New Roman" w:hAnsi="Times New Roman" w:cs="Times New Roman"/>
          <w:lang w:val="en-US"/>
        </w:rPr>
      </w:pPr>
    </w:p>
    <w:p w14:paraId="2AAA4CED" w14:textId="163927D3" w:rsidR="0081434D" w:rsidRPr="00FC019F" w:rsidRDefault="0081434D" w:rsidP="00DC7931">
      <w:pPr>
        <w:jc w:val="both"/>
        <w:rPr>
          <w:rFonts w:ascii="Times New Roman" w:hAnsi="Times New Roman" w:cs="Times New Roman"/>
          <w:lang w:val="en-US"/>
        </w:rPr>
      </w:pPr>
    </w:p>
    <w:sectPr w:rsidR="0081434D" w:rsidRPr="00FC019F" w:rsidSect="00F556B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A401F"/>
    <w:multiLevelType w:val="multilevel"/>
    <w:tmpl w:val="6FF8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B35BBE"/>
    <w:multiLevelType w:val="multilevel"/>
    <w:tmpl w:val="A8EA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6B"/>
    <w:rsid w:val="00005B76"/>
    <w:rsid w:val="00035C60"/>
    <w:rsid w:val="000423DA"/>
    <w:rsid w:val="00062F08"/>
    <w:rsid w:val="000774A4"/>
    <w:rsid w:val="00082645"/>
    <w:rsid w:val="00093BD2"/>
    <w:rsid w:val="000D7C7E"/>
    <w:rsid w:val="000E39B2"/>
    <w:rsid w:val="00103758"/>
    <w:rsid w:val="001071DC"/>
    <w:rsid w:val="0012017C"/>
    <w:rsid w:val="00123D44"/>
    <w:rsid w:val="0015455E"/>
    <w:rsid w:val="001D0AA5"/>
    <w:rsid w:val="001F4A41"/>
    <w:rsid w:val="0022139D"/>
    <w:rsid w:val="00231964"/>
    <w:rsid w:val="0024081F"/>
    <w:rsid w:val="00252AED"/>
    <w:rsid w:val="002624AC"/>
    <w:rsid w:val="00291C21"/>
    <w:rsid w:val="00294904"/>
    <w:rsid w:val="0030298D"/>
    <w:rsid w:val="003068F4"/>
    <w:rsid w:val="00344033"/>
    <w:rsid w:val="003455B5"/>
    <w:rsid w:val="00351729"/>
    <w:rsid w:val="003766DD"/>
    <w:rsid w:val="003849B7"/>
    <w:rsid w:val="00395D51"/>
    <w:rsid w:val="003C1286"/>
    <w:rsid w:val="003C35FF"/>
    <w:rsid w:val="003E0191"/>
    <w:rsid w:val="003E3B25"/>
    <w:rsid w:val="003E4128"/>
    <w:rsid w:val="003F1B12"/>
    <w:rsid w:val="00416CF5"/>
    <w:rsid w:val="004362AD"/>
    <w:rsid w:val="004528E7"/>
    <w:rsid w:val="00486F2D"/>
    <w:rsid w:val="00494274"/>
    <w:rsid w:val="004A2D34"/>
    <w:rsid w:val="004D6314"/>
    <w:rsid w:val="004E153F"/>
    <w:rsid w:val="0053536C"/>
    <w:rsid w:val="00537030"/>
    <w:rsid w:val="0055421B"/>
    <w:rsid w:val="00560C95"/>
    <w:rsid w:val="0057057C"/>
    <w:rsid w:val="00580417"/>
    <w:rsid w:val="00621F50"/>
    <w:rsid w:val="006425FD"/>
    <w:rsid w:val="00642F5D"/>
    <w:rsid w:val="006540AD"/>
    <w:rsid w:val="0073641E"/>
    <w:rsid w:val="00770A86"/>
    <w:rsid w:val="007C0F14"/>
    <w:rsid w:val="007D42E1"/>
    <w:rsid w:val="007E2A2A"/>
    <w:rsid w:val="0080652F"/>
    <w:rsid w:val="00807EC2"/>
    <w:rsid w:val="0081434D"/>
    <w:rsid w:val="00891B7C"/>
    <w:rsid w:val="00894FDD"/>
    <w:rsid w:val="008D736B"/>
    <w:rsid w:val="008F3A69"/>
    <w:rsid w:val="008F5CED"/>
    <w:rsid w:val="00921528"/>
    <w:rsid w:val="00932C6B"/>
    <w:rsid w:val="00973C06"/>
    <w:rsid w:val="009808B3"/>
    <w:rsid w:val="00985F79"/>
    <w:rsid w:val="009874D2"/>
    <w:rsid w:val="009A78C3"/>
    <w:rsid w:val="009C2413"/>
    <w:rsid w:val="009E04BD"/>
    <w:rsid w:val="00A12AAA"/>
    <w:rsid w:val="00A45BE6"/>
    <w:rsid w:val="00AC4411"/>
    <w:rsid w:val="00B50F95"/>
    <w:rsid w:val="00B52A48"/>
    <w:rsid w:val="00B84BB1"/>
    <w:rsid w:val="00B91823"/>
    <w:rsid w:val="00BA6B82"/>
    <w:rsid w:val="00BC6594"/>
    <w:rsid w:val="00BD0D40"/>
    <w:rsid w:val="00BE0613"/>
    <w:rsid w:val="00BE170F"/>
    <w:rsid w:val="00C14BF3"/>
    <w:rsid w:val="00C3517C"/>
    <w:rsid w:val="00C62E2D"/>
    <w:rsid w:val="00C64622"/>
    <w:rsid w:val="00C95750"/>
    <w:rsid w:val="00D15767"/>
    <w:rsid w:val="00D17028"/>
    <w:rsid w:val="00D4545D"/>
    <w:rsid w:val="00D463AF"/>
    <w:rsid w:val="00D554F8"/>
    <w:rsid w:val="00DB01E7"/>
    <w:rsid w:val="00DC7931"/>
    <w:rsid w:val="00DE7D21"/>
    <w:rsid w:val="00E7209C"/>
    <w:rsid w:val="00E75C41"/>
    <w:rsid w:val="00EC478B"/>
    <w:rsid w:val="00EE2561"/>
    <w:rsid w:val="00F34B42"/>
    <w:rsid w:val="00F556B0"/>
    <w:rsid w:val="00F6170C"/>
    <w:rsid w:val="00F92DF5"/>
    <w:rsid w:val="00FA13F7"/>
    <w:rsid w:val="00FC019F"/>
    <w:rsid w:val="00FD46B8"/>
    <w:rsid w:val="00FD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B5F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766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0F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8D736B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E7209C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0F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C3517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76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notaapidipagina">
    <w:name w:val="footnote text"/>
    <w:aliases w:val="Anuario. Texto nota pie,stile 1,Footnote,Footnote1,Footnote2,Footnote3,Footnote4,Footnote5,Footnote6,Footnote7,Footnote8,Footnote9,Footnote10,Footnote11,Footnote21,Footnote31,Footnote41,Footnote51,Footnote61,Footnote71"/>
    <w:basedOn w:val="Normale"/>
    <w:link w:val="TestonotaapidipaginaCarattere"/>
    <w:uiPriority w:val="99"/>
    <w:qFormat/>
    <w:rsid w:val="009808B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aliases w:val="Anuario. Texto nota pie Carattere,stile 1 Carattere,Footnote Carattere,Footnote1 Carattere,Footnote2 Carattere,Footnote3 Carattere,Footnote4 Carattere,Footnote5 Carattere,Footnote6 Carattere,Footnote7 Carattere"/>
    <w:basedOn w:val="Carpredefinitoparagrafo"/>
    <w:link w:val="Testonotaapidipagina"/>
    <w:uiPriority w:val="99"/>
    <w:qFormat/>
    <w:rsid w:val="009808B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78039-CEDE-AD46-A0A9-8EFABF8F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2684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dcterms:created xsi:type="dcterms:W3CDTF">2021-12-06T12:34:00Z</dcterms:created>
  <dcterms:modified xsi:type="dcterms:W3CDTF">2021-12-06T18:26:00Z</dcterms:modified>
</cp:coreProperties>
</file>