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35833" w14:textId="52946214" w:rsidR="00F562B8" w:rsidRDefault="008A015A" w:rsidP="00F562B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AD6ABE">
        <w:rPr>
          <w:b/>
        </w:rPr>
        <w:t xml:space="preserve">Sabine </w:t>
      </w:r>
      <w:proofErr w:type="spellStart"/>
      <w:r w:rsidRPr="00AD6ABE">
        <w:rPr>
          <w:b/>
        </w:rPr>
        <w:t>Baudont</w:t>
      </w:r>
      <w:proofErr w:type="spellEnd"/>
      <w:r w:rsidRPr="00AD6ABE">
        <w:rPr>
          <w:rFonts w:cs="ArialMT"/>
          <w:b/>
        </w:rPr>
        <w:t xml:space="preserve"> </w:t>
      </w:r>
      <w:r w:rsidR="00AD6ABE" w:rsidRPr="00AD6ABE">
        <w:rPr>
          <w:rFonts w:cs="ArialMT"/>
          <w:b/>
        </w:rPr>
        <w:t xml:space="preserve"> </w:t>
      </w:r>
      <w:r w:rsidR="00F562B8" w:rsidRPr="002F5DE3">
        <w:rPr>
          <w:b/>
        </w:rPr>
        <w:t xml:space="preserve">Sabine </w:t>
      </w:r>
      <w:proofErr w:type="spellStart"/>
      <w:r w:rsidR="00F562B8" w:rsidRPr="002F5DE3">
        <w:rPr>
          <w:b/>
        </w:rPr>
        <w:t>Baudont</w:t>
      </w:r>
      <w:proofErr w:type="spellEnd"/>
      <w:r w:rsidR="00F562B8" w:rsidRPr="002F5DE3">
        <w:rPr>
          <w:rFonts w:cs="ArialMT"/>
        </w:rPr>
        <w:t xml:space="preserve"> </w:t>
      </w:r>
      <w:r w:rsidR="00F562B8">
        <w:rPr>
          <w:rFonts w:cs="ArialMT"/>
        </w:rPr>
        <w:t>, doctorante en CIFRE (</w:t>
      </w:r>
      <w:r w:rsidR="00F562B8" w:rsidRPr="002F5DE3">
        <w:t xml:space="preserve">Printemps  - </w:t>
      </w:r>
      <w:r w:rsidR="00F562B8" w:rsidRPr="002F5DE3">
        <w:rPr>
          <w:rFonts w:cs="ArialMT"/>
        </w:rPr>
        <w:t xml:space="preserve">UMR 8085 </w:t>
      </w:r>
      <w:r w:rsidR="00F562B8">
        <w:rPr>
          <w:rFonts w:cs="ArialMT"/>
        </w:rPr>
        <w:t>–</w:t>
      </w:r>
      <w:r w:rsidR="00F562B8" w:rsidRPr="002F5DE3">
        <w:rPr>
          <w:rFonts w:cs="ArialMT"/>
        </w:rPr>
        <w:t xml:space="preserve"> </w:t>
      </w:r>
      <w:r w:rsidR="00F562B8">
        <w:rPr>
          <w:rFonts w:cs="ArialMT"/>
        </w:rPr>
        <w:t xml:space="preserve">UVSQ) </w:t>
      </w:r>
      <w:r w:rsidR="002B1035">
        <w:rPr>
          <w:rFonts w:cs="ArialMT"/>
        </w:rPr>
        <w:t>–</w:t>
      </w:r>
    </w:p>
    <w:p w14:paraId="64D42B5D" w14:textId="14A8004E" w:rsidR="002B1035" w:rsidRPr="002F5DE3" w:rsidRDefault="002B1035" w:rsidP="00F562B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hyperlink r:id="rId9" w:history="1">
        <w:r w:rsidRPr="00107B63">
          <w:rPr>
            <w:rStyle w:val="Lienhypertexte"/>
            <w:rFonts w:cs="ArialMT"/>
          </w:rPr>
          <w:t>Sabine.baudont@gmail.com</w:t>
        </w:r>
      </w:hyperlink>
      <w:r>
        <w:rPr>
          <w:rFonts w:cs="ArialMT"/>
        </w:rPr>
        <w:t xml:space="preserve"> </w:t>
      </w:r>
    </w:p>
    <w:p w14:paraId="43628B64" w14:textId="77777777" w:rsidR="00F562B8" w:rsidRDefault="00F562B8" w:rsidP="00C1579A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</w:rPr>
      </w:pPr>
    </w:p>
    <w:p w14:paraId="211B2C63" w14:textId="48503E51" w:rsidR="008A015A" w:rsidRPr="00AD6ABE" w:rsidRDefault="00AD6ABE" w:rsidP="00C1579A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</w:rPr>
      </w:pPr>
      <w:r w:rsidRPr="00AD6ABE">
        <w:rPr>
          <w:rFonts w:cs="ArialMT"/>
          <w:b/>
        </w:rPr>
        <w:t>Gaël Coron</w:t>
      </w:r>
      <w:r w:rsidR="00F562B8">
        <w:rPr>
          <w:rFonts w:cs="ArialMT"/>
          <w:b/>
        </w:rPr>
        <w:t>,</w:t>
      </w:r>
      <w:r w:rsidRPr="00AD6ABE">
        <w:rPr>
          <w:rFonts w:cs="ArialMT"/>
          <w:b/>
        </w:rPr>
        <w:t xml:space="preserve"> </w:t>
      </w:r>
      <w:r w:rsidR="00F562B8" w:rsidRPr="00F562B8">
        <w:rPr>
          <w:rFonts w:cs="ArialMT"/>
        </w:rPr>
        <w:t>enseignant chercheur (EHESP / ARENES UMR 6051)</w:t>
      </w:r>
    </w:p>
    <w:p w14:paraId="457CECBA" w14:textId="55247E9C" w:rsidR="00C1579A" w:rsidRDefault="002B1035" w:rsidP="00C1579A">
      <w:pPr>
        <w:autoSpaceDE w:val="0"/>
        <w:autoSpaceDN w:val="0"/>
        <w:adjustRightInd w:val="0"/>
        <w:spacing w:after="0" w:line="240" w:lineRule="auto"/>
        <w:jc w:val="both"/>
      </w:pPr>
      <w:hyperlink r:id="rId10" w:history="1">
        <w:r w:rsidRPr="00107B63">
          <w:rPr>
            <w:rStyle w:val="Lienhypertexte"/>
          </w:rPr>
          <w:t>Gael.coron@ehesp.fr</w:t>
        </w:r>
      </w:hyperlink>
    </w:p>
    <w:p w14:paraId="4F92E7E0" w14:textId="77777777" w:rsidR="002B1035" w:rsidRDefault="002B1035" w:rsidP="00C1579A">
      <w:pPr>
        <w:autoSpaceDE w:val="0"/>
        <w:autoSpaceDN w:val="0"/>
        <w:adjustRightInd w:val="0"/>
        <w:spacing w:after="0" w:line="240" w:lineRule="auto"/>
        <w:jc w:val="both"/>
      </w:pPr>
    </w:p>
    <w:p w14:paraId="6403F8DA" w14:textId="77777777" w:rsidR="00F562B8" w:rsidRDefault="00157C44" w:rsidP="00F562B8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La transforma</w:t>
      </w:r>
      <w:r w:rsidR="00AD6ABE">
        <w:rPr>
          <w:b/>
          <w:sz w:val="28"/>
          <w:szCs w:val="28"/>
        </w:rPr>
        <w:t>tion de l’offre médicosociale et l’école inclusive</w:t>
      </w:r>
      <w:r>
        <w:rPr>
          <w:b/>
          <w:sz w:val="28"/>
          <w:szCs w:val="28"/>
        </w:rPr>
        <w:t xml:space="preserve">: </w:t>
      </w:r>
    </w:p>
    <w:p w14:paraId="76BDFD69" w14:textId="3ED03FBE" w:rsidR="00157C44" w:rsidRPr="0094364F" w:rsidRDefault="004436B5" w:rsidP="00047E72">
      <w:pPr>
        <w:pBdr>
          <w:bottom w:val="single" w:sz="4" w:space="1" w:color="auto"/>
        </w:pBd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Le cas des unités d’enseignement externalisées</w:t>
      </w:r>
      <w:r w:rsidR="00157C44">
        <w:rPr>
          <w:b/>
          <w:sz w:val="28"/>
          <w:szCs w:val="28"/>
        </w:rPr>
        <w:t xml:space="preserve"> </w:t>
      </w:r>
    </w:p>
    <w:p w14:paraId="351A0304" w14:textId="02FD04C6" w:rsidR="001205D3" w:rsidRDefault="001205D3" w:rsidP="00B63263">
      <w:pPr>
        <w:jc w:val="both"/>
        <w:rPr>
          <w:rFonts w:eastAsia="Calibri"/>
          <w:color w:val="262626"/>
        </w:rPr>
      </w:pPr>
      <w:r w:rsidRPr="00D01156">
        <w:rPr>
          <w:rFonts w:eastAsia="Calibri"/>
          <w:color w:val="262626"/>
        </w:rPr>
        <w:t>En France, de plus en plus d’enfants en situation de handicap accèdent à u</w:t>
      </w:r>
      <w:r w:rsidR="00157C44">
        <w:rPr>
          <w:rFonts w:eastAsia="Calibri"/>
          <w:color w:val="262626"/>
        </w:rPr>
        <w:t>ne scolarité ordinaire : en 2021-2020, 361</w:t>
      </w:r>
      <w:r w:rsidRPr="00D01156">
        <w:rPr>
          <w:rFonts w:eastAsia="Calibri"/>
          <w:color w:val="262626"/>
        </w:rPr>
        <w:t xml:space="preserve"> 000 enfants fréquentent l’école ordinaire, contre 90 000 en 1998</w:t>
      </w:r>
      <w:r w:rsidRPr="00D01156">
        <w:rPr>
          <w:rFonts w:eastAsia="Calibri"/>
          <w:color w:val="262626"/>
          <w:vertAlign w:val="superscript"/>
        </w:rPr>
        <w:footnoteReference w:id="1"/>
      </w:r>
      <w:r w:rsidRPr="00D01156">
        <w:rPr>
          <w:rFonts w:eastAsia="Calibri"/>
          <w:color w:val="262626"/>
        </w:rPr>
        <w:t xml:space="preserve">. Quand ils ne sont pas scolarisés en milieu ordinaire, ils sont accueillis dans des instituts pour enfants et jeunes regroupés sous le terme d’établissements et services sociaux et médico-sociaux (ESMS). En </w:t>
      </w:r>
      <w:r w:rsidR="00157C44">
        <w:rPr>
          <w:rFonts w:eastAsia="Calibri"/>
          <w:color w:val="262626"/>
        </w:rPr>
        <w:t>2018</w:t>
      </w:r>
      <w:r w:rsidRPr="00D01156">
        <w:rPr>
          <w:rFonts w:eastAsia="Calibri"/>
          <w:color w:val="262626"/>
        </w:rPr>
        <w:t xml:space="preserve">, la Direction de la recherche, des études, de l’évaluation et des statistiques (DREES) fait état de </w:t>
      </w:r>
      <w:r w:rsidR="007F47A6">
        <w:rPr>
          <w:rFonts w:eastAsia="Calibri"/>
          <w:color w:val="262626"/>
        </w:rPr>
        <w:t>164 6</w:t>
      </w:r>
      <w:r w:rsidRPr="00D01156">
        <w:rPr>
          <w:rFonts w:eastAsia="Calibri"/>
          <w:color w:val="262626"/>
        </w:rPr>
        <w:t xml:space="preserve">00 </w:t>
      </w:r>
      <w:r w:rsidR="007F47A6">
        <w:rPr>
          <w:rFonts w:eastAsia="Calibri"/>
          <w:color w:val="262626"/>
        </w:rPr>
        <w:t>places</w:t>
      </w:r>
      <w:r w:rsidRPr="00D01156">
        <w:rPr>
          <w:rFonts w:eastAsia="Calibri"/>
          <w:color w:val="262626"/>
        </w:rPr>
        <w:t xml:space="preserve"> dans ces établissements</w:t>
      </w:r>
      <w:r w:rsidRPr="00D01156">
        <w:rPr>
          <w:rFonts w:eastAsia="Calibri"/>
          <w:color w:val="262626"/>
          <w:vertAlign w:val="superscript"/>
        </w:rPr>
        <w:footnoteReference w:id="2"/>
      </w:r>
      <w:r w:rsidRPr="00D01156">
        <w:rPr>
          <w:rFonts w:eastAsia="Calibri"/>
          <w:color w:val="262626"/>
        </w:rPr>
        <w:t xml:space="preserve">. </w:t>
      </w:r>
      <w:r w:rsidR="007F47A6">
        <w:rPr>
          <w:rFonts w:eastAsia="Calibri"/>
          <w:color w:val="262626"/>
        </w:rPr>
        <w:t>Les enfants a</w:t>
      </w:r>
      <w:bookmarkStart w:id="0" w:name="_GoBack"/>
      <w:bookmarkEnd w:id="0"/>
      <w:r w:rsidR="007F47A6">
        <w:rPr>
          <w:rFonts w:eastAsia="Calibri"/>
          <w:color w:val="262626"/>
        </w:rPr>
        <w:t>ccueillis dans ces établissements sont soumis, comme les autres, à une obligati</w:t>
      </w:r>
      <w:r w:rsidR="00AD6ABE">
        <w:rPr>
          <w:rFonts w:eastAsia="Calibri"/>
          <w:color w:val="262626"/>
        </w:rPr>
        <w:t>on de scolarisation entre 3 et 16</w:t>
      </w:r>
      <w:r w:rsidR="007F47A6">
        <w:rPr>
          <w:rFonts w:eastAsia="Calibri"/>
          <w:color w:val="262626"/>
        </w:rPr>
        <w:t xml:space="preserve"> ans. Cette mission est </w:t>
      </w:r>
      <w:r w:rsidR="00AD6ABE">
        <w:rPr>
          <w:rFonts w:eastAsia="Calibri"/>
          <w:color w:val="262626"/>
        </w:rPr>
        <w:t>exercée conjointement par</w:t>
      </w:r>
      <w:r w:rsidR="007F47A6">
        <w:rPr>
          <w:rFonts w:eastAsia="Calibri"/>
          <w:color w:val="262626"/>
        </w:rPr>
        <w:t xml:space="preserve"> plusieurs acteurs </w:t>
      </w:r>
      <w:r w:rsidR="00AD6ABE">
        <w:rPr>
          <w:rFonts w:eastAsia="Calibri"/>
          <w:color w:val="262626"/>
        </w:rPr>
        <w:t>localement</w:t>
      </w:r>
      <w:r w:rsidR="007F47A6">
        <w:rPr>
          <w:rFonts w:eastAsia="Calibri"/>
          <w:color w:val="262626"/>
        </w:rPr>
        <w:t xml:space="preserve">: </w:t>
      </w:r>
      <w:r w:rsidR="00AD6ABE">
        <w:rPr>
          <w:rFonts w:eastAsia="Calibri"/>
          <w:color w:val="262626"/>
        </w:rPr>
        <w:t xml:space="preserve">l’ESMS, l’Education Nationale et </w:t>
      </w:r>
      <w:r w:rsidR="007F47A6">
        <w:rPr>
          <w:rFonts w:eastAsia="Calibri"/>
          <w:color w:val="262626"/>
        </w:rPr>
        <w:t xml:space="preserve">l’Agence régionale de Santé (Tutelle des ESMS). </w:t>
      </w:r>
    </w:p>
    <w:p w14:paraId="2A72FDD2" w14:textId="6884319B" w:rsidR="0031220C" w:rsidRDefault="007F47A6" w:rsidP="0031220C">
      <w:pPr>
        <w:jc w:val="both"/>
      </w:pPr>
      <w:r>
        <w:rPr>
          <w:rFonts w:eastAsia="Calibri"/>
          <w:color w:val="262626"/>
        </w:rPr>
        <w:t xml:space="preserve">Depuis la </w:t>
      </w:r>
      <w:r w:rsidRPr="00D01156">
        <w:t>loi du 11 février 2005</w:t>
      </w:r>
      <w:r w:rsidRPr="00D01156">
        <w:rPr>
          <w:rStyle w:val="Marquenotebasdepage"/>
        </w:rPr>
        <w:footnoteReference w:id="3"/>
      </w:r>
      <w:r>
        <w:t>, la scolarisation des enfants en situation de handicap, accompagnés par le secteur médicosocial, promeut une scolarisation en milieu ordinaire</w:t>
      </w:r>
      <w:r w:rsidR="00F70A7B">
        <w:t xml:space="preserve"> de ces enfants</w:t>
      </w:r>
      <w:r>
        <w:t xml:space="preserve">, c’est à dire, dans les établissements scolaires. </w:t>
      </w:r>
      <w:r w:rsidR="00F70A7B">
        <w:t>L’inclusion des élèves en situation de handicap n’est pas une orientation politique nouvelle. Des disposition</w:t>
      </w:r>
      <w:r w:rsidR="0031220C">
        <w:t xml:space="preserve"> législatives</w:t>
      </w:r>
      <w:r w:rsidR="00F70A7B">
        <w:t xml:space="preserve"> le permettant existent de</w:t>
      </w:r>
      <w:r w:rsidR="0031220C">
        <w:t>puis les années 70, sans pour au</w:t>
      </w:r>
      <w:r w:rsidR="00F70A7B">
        <w:t xml:space="preserve">tant qu’elles aient été </w:t>
      </w:r>
      <w:r w:rsidR="00AD6ABE">
        <w:t>saisies</w:t>
      </w:r>
      <w:r w:rsidR="00F70A7B">
        <w:t xml:space="preserve"> massivement par les établissements médicosociaux.  Aujourd’hui, les discours</w:t>
      </w:r>
      <w:r w:rsidR="0031220C">
        <w:t xml:space="preserve"> nationaux ou internationaux (notamment de l’ONU)</w:t>
      </w:r>
      <w:r w:rsidR="00F70A7B">
        <w:t xml:space="preserve"> entourant le concept d’école inclusive font de </w:t>
      </w:r>
      <w:r w:rsidR="00AD6ABE">
        <w:t xml:space="preserve">la « désinstitutionalisation » ou la transformation de l’offre médicosociale une condition </w:t>
      </w:r>
      <w:r w:rsidR="00AD6ABE" w:rsidRPr="00AD6ABE">
        <w:rPr>
          <w:i/>
        </w:rPr>
        <w:t>sine qua non</w:t>
      </w:r>
      <w:r w:rsidR="00D26745">
        <w:t xml:space="preserve"> à la réussite de la politique de l’école inclusive.</w:t>
      </w:r>
      <w:r w:rsidR="00F70A7B">
        <w:t xml:space="preserve"> </w:t>
      </w:r>
    </w:p>
    <w:p w14:paraId="2F31D9C7" w14:textId="431942B4" w:rsidR="0031220C" w:rsidRPr="00D01156" w:rsidRDefault="0031220C" w:rsidP="0031220C">
      <w:pPr>
        <w:jc w:val="both"/>
      </w:pPr>
      <w:r w:rsidRPr="00D01156">
        <w:t xml:space="preserve">Pour accroitre la scolarisation en milieu ordinaire des enfants accueillis dans les établissements médico-sociaux (EMS) restée faiblement développée à la fin des années 2000, le Ministère des affaires sociales crée « l’unité d’enseignement externalisée » (UEE). Le dispositif est alors présenté comme une réponse à l’injonction d’inclusion dans un milieu ordinaire et doit garantir la mise en œuvre d’un parcours individualisé en fonction des besoins et aspirations des </w:t>
      </w:r>
      <w:r w:rsidR="00AD6ABE">
        <w:t>enfants et de leurs familles</w:t>
      </w:r>
      <w:r w:rsidRPr="00D01156">
        <w:t xml:space="preserve">. </w:t>
      </w:r>
      <w:r w:rsidR="00F413F3">
        <w:t xml:space="preserve">Ce </w:t>
      </w:r>
      <w:r w:rsidR="00CB15D5">
        <w:t>dispositif</w:t>
      </w:r>
      <w:r w:rsidR="00F413F3">
        <w:t xml:space="preserve"> est également présenté comme un pas de plus vers la désinstitutionalisation, garante d’une meilleure inclusion. </w:t>
      </w:r>
    </w:p>
    <w:p w14:paraId="0A3BC229" w14:textId="386E652A" w:rsidR="007F47A6" w:rsidRPr="00D01156" w:rsidRDefault="007F47A6" w:rsidP="00B63263">
      <w:pPr>
        <w:jc w:val="both"/>
        <w:rPr>
          <w:rFonts w:eastAsia="Calibri"/>
          <w:color w:val="262626"/>
        </w:rPr>
      </w:pPr>
    </w:p>
    <w:p w14:paraId="13A256A3" w14:textId="77777777" w:rsidR="00AD6ABE" w:rsidRDefault="004474BE" w:rsidP="00B63263">
      <w:pPr>
        <w:jc w:val="both"/>
      </w:pPr>
      <w:r w:rsidRPr="00D01156">
        <w:t>Dans cette communication, n</w:t>
      </w:r>
      <w:r w:rsidR="00231D3C" w:rsidRPr="00D01156">
        <w:t>ous saisirons plus particulièrement la question de l’école inclusive à travers la trajectoire d</w:t>
      </w:r>
      <w:r w:rsidR="0031220C">
        <w:t>e ce</w:t>
      </w:r>
      <w:r w:rsidR="00DE7B54">
        <w:t xml:space="preserve"> dispositif, </w:t>
      </w:r>
      <w:r w:rsidR="0031220C">
        <w:t>en explorant</w:t>
      </w:r>
      <w:r w:rsidR="00231D3C" w:rsidRPr="00D01156">
        <w:t xml:space="preserve"> les enjeux de cette question tels qu’ils peuvent être appréhendés par la sociologie de l’action publique</w:t>
      </w:r>
      <w:r w:rsidR="00AD6ABE">
        <w:t xml:space="preserve"> à </w:t>
      </w:r>
      <w:r w:rsidR="001205D3" w:rsidRPr="00D01156">
        <w:t xml:space="preserve">deux niveaux d’analyses et leurs </w:t>
      </w:r>
      <w:r w:rsidRPr="00D01156">
        <w:lastRenderedPageBreak/>
        <w:t>interactions :</w:t>
      </w:r>
      <w:r w:rsidR="001205D3" w:rsidRPr="00D01156">
        <w:t xml:space="preserve"> l’un macro : dans quelle mesure la création d’un dispositif national catégoriel participe à l’effacement </w:t>
      </w:r>
      <w:r w:rsidR="00C37A84" w:rsidRPr="00D01156">
        <w:t xml:space="preserve">du problème politique de la scolarisation </w:t>
      </w:r>
      <w:r w:rsidR="001205D3" w:rsidRPr="00D01156">
        <w:t>des enfants en situation de handicap</w:t>
      </w:r>
      <w:r w:rsidRPr="00D01156">
        <w:t> ?</w:t>
      </w:r>
      <w:r w:rsidR="001205D3" w:rsidRPr="00D01156">
        <w:t xml:space="preserve"> </w:t>
      </w:r>
      <w:r w:rsidR="00DE7B54">
        <w:t>L</w:t>
      </w:r>
      <w:r w:rsidR="001205D3" w:rsidRPr="00D01156">
        <w:t xml:space="preserve">’autre micro : dans quelle mesure </w:t>
      </w:r>
      <w:r w:rsidR="00D20914">
        <w:t>le déploiement</w:t>
      </w:r>
      <w:r w:rsidR="001205D3" w:rsidRPr="00D01156">
        <w:t xml:space="preserve"> de ce dispositif entraîne la naissance d’une sous-catégorisation à l’intérieur de la catégorie des usagers des EMS ? </w:t>
      </w:r>
    </w:p>
    <w:p w14:paraId="56332121" w14:textId="36837C80" w:rsidR="00700053" w:rsidRPr="00D01156" w:rsidRDefault="003F2BB0" w:rsidP="00B63263">
      <w:pPr>
        <w:jc w:val="both"/>
      </w:pPr>
      <w:r w:rsidRPr="00D01156">
        <w:t xml:space="preserve">Ces </w:t>
      </w:r>
      <w:r w:rsidR="00B63263" w:rsidRPr="00D01156">
        <w:t>questions</w:t>
      </w:r>
      <w:r w:rsidRPr="00D01156">
        <w:t xml:space="preserve"> seront développé</w:t>
      </w:r>
      <w:r w:rsidR="00B63263" w:rsidRPr="00D01156">
        <w:t>e</w:t>
      </w:r>
      <w:r w:rsidRPr="00D01156">
        <w:t>s à</w:t>
      </w:r>
      <w:r w:rsidR="004474BE" w:rsidRPr="00D01156">
        <w:t xml:space="preserve"> </w:t>
      </w:r>
      <w:r w:rsidRPr="00D01156">
        <w:t>partir</w:t>
      </w:r>
      <w:r w:rsidR="0001093B">
        <w:t xml:space="preserve"> d’un travail de recherche dans le cadre d’une thèse en CIFRE à l’ARS Bretagne entre 2018 et 2021. Une enquête, des entretiens </w:t>
      </w:r>
      <w:r w:rsidR="00D26745">
        <w:t xml:space="preserve">de professionnels </w:t>
      </w:r>
      <w:r w:rsidR="0001093B">
        <w:t xml:space="preserve">et </w:t>
      </w:r>
      <w:r w:rsidR="00D26745">
        <w:t xml:space="preserve">des </w:t>
      </w:r>
      <w:r w:rsidR="0001093B">
        <w:t>observations</w:t>
      </w:r>
      <w:r w:rsidR="00D26745">
        <w:t xml:space="preserve"> </w:t>
      </w:r>
      <w:r w:rsidR="0001093B">
        <w:t xml:space="preserve"> constitue</w:t>
      </w:r>
      <w:r w:rsidR="00D26745">
        <w:t>nt</w:t>
      </w:r>
      <w:r w:rsidR="0001093B">
        <w:t xml:space="preserve"> le</w:t>
      </w:r>
      <w:r w:rsidR="00D20914">
        <w:t>s</w:t>
      </w:r>
      <w:r w:rsidR="0001093B">
        <w:t xml:space="preserve"> matériau</w:t>
      </w:r>
      <w:r w:rsidR="00D20914">
        <w:t>x</w:t>
      </w:r>
      <w:r w:rsidR="0001093B">
        <w:t xml:space="preserve"> utilisés dans cette communication. </w:t>
      </w:r>
    </w:p>
    <w:p w14:paraId="028ACB27" w14:textId="77777777" w:rsidR="008836BE" w:rsidRPr="00D01156" w:rsidRDefault="008836BE" w:rsidP="00B63263">
      <w:pPr>
        <w:jc w:val="both"/>
      </w:pPr>
      <w:r w:rsidRPr="00D01156">
        <w:t>Dans une première partie nous explorerons les particularités de deux secteurs en interaction dans la scolarisation des enfants et jeunes en situation de handicap : celui du médico-social et celui de l’Education</w:t>
      </w:r>
      <w:r w:rsidR="004474BE" w:rsidRPr="00D01156">
        <w:t xml:space="preserve"> National</w:t>
      </w:r>
      <w:r w:rsidR="00785B7B" w:rsidRPr="00D01156">
        <w:t>e</w:t>
      </w:r>
      <w:r w:rsidRPr="00D01156">
        <w:t xml:space="preserve">. Nous verrons comment l’injonction </w:t>
      </w:r>
      <w:r w:rsidR="004474BE" w:rsidRPr="00D01156">
        <w:t xml:space="preserve">d’inclusion </w:t>
      </w:r>
      <w:r w:rsidRPr="00D01156">
        <w:t xml:space="preserve">de l’échelon central s’inscrit dans la trajectoire historique de ces deux secteurs et </w:t>
      </w:r>
      <w:r w:rsidR="00DE7B54">
        <w:t>comment</w:t>
      </w:r>
      <w:r w:rsidRPr="00D01156">
        <w:t xml:space="preserve"> elle modifie leurs </w:t>
      </w:r>
      <w:r w:rsidR="00B276D2" w:rsidRPr="00D01156">
        <w:t xml:space="preserve">coopérations et leurs positionnements institutionnels. </w:t>
      </w:r>
    </w:p>
    <w:p w14:paraId="21A05AAE" w14:textId="77777777" w:rsidR="008836BE" w:rsidRPr="00D01156" w:rsidRDefault="008836BE" w:rsidP="00B63263">
      <w:pPr>
        <w:jc w:val="both"/>
      </w:pPr>
      <w:r w:rsidRPr="00D01156">
        <w:t>La deuxième partie sera consacrée à l’analyse du dispositif « unité d’enseignement externalisé</w:t>
      </w:r>
      <w:r w:rsidR="002A59E7" w:rsidRPr="00D01156">
        <w:t>e</w:t>
      </w:r>
      <w:r w:rsidRPr="00D01156">
        <w:t xml:space="preserve"> » dans </w:t>
      </w:r>
      <w:r w:rsidR="00B63263" w:rsidRPr="00D01156">
        <w:t>son appropriation</w:t>
      </w:r>
      <w:r w:rsidRPr="00D01156">
        <w:t xml:space="preserve"> par les acteurs locaux. Il s’agira de montrer en quoi cet instrument de politique public à visée inclusive </w:t>
      </w:r>
      <w:r w:rsidR="002A59E7" w:rsidRPr="00D01156">
        <w:t>s’imbrique</w:t>
      </w:r>
      <w:r w:rsidRPr="00D01156">
        <w:t xml:space="preserve"> dans une myriad</w:t>
      </w:r>
      <w:r w:rsidR="002A59E7" w:rsidRPr="00D01156">
        <w:t>e de dispositifs déjà existants et de relations complexes entre les acteurs de sa mise en œuvre.</w:t>
      </w:r>
    </w:p>
    <w:p w14:paraId="1FC391F1" w14:textId="50B2B094" w:rsidR="002A59E7" w:rsidRPr="00D01156" w:rsidRDefault="002A59E7" w:rsidP="00B63263">
      <w:pPr>
        <w:jc w:val="both"/>
      </w:pPr>
      <w:r w:rsidRPr="00D01156">
        <w:t>la troisième partie proposera d’explorer à l’échelle micro</w:t>
      </w:r>
      <w:r w:rsidR="00B276D2" w:rsidRPr="00D01156">
        <w:t> </w:t>
      </w:r>
      <w:r w:rsidRPr="00D01156">
        <w:t xml:space="preserve">en quoi </w:t>
      </w:r>
      <w:r w:rsidR="00B276D2" w:rsidRPr="00D01156">
        <w:t xml:space="preserve">les critères de sélection des élèves et le positionnement de ses professionnels </w:t>
      </w:r>
      <w:r w:rsidR="00DE7B54">
        <w:t xml:space="preserve">médicosociaux </w:t>
      </w:r>
      <w:r w:rsidR="00B276D2" w:rsidRPr="00D01156">
        <w:t>« déplacés » dans un nouveau milieu de travail </w:t>
      </w:r>
      <w:r w:rsidRPr="00D01156">
        <w:t>peu</w:t>
      </w:r>
      <w:r w:rsidR="00AD7133" w:rsidRPr="00D01156">
        <w:t>ven</w:t>
      </w:r>
      <w:r w:rsidRPr="00D01156">
        <w:t xml:space="preserve">t générer </w:t>
      </w:r>
      <w:r w:rsidR="00B276D2" w:rsidRPr="00D01156">
        <w:t>la création d’</w:t>
      </w:r>
      <w:r w:rsidRPr="00D01156">
        <w:t>une sous-catégorisation d’usagers</w:t>
      </w:r>
      <w:r w:rsidR="00B276D2" w:rsidRPr="00D01156">
        <w:t xml:space="preserve">. </w:t>
      </w:r>
    </w:p>
    <w:p w14:paraId="2CC29508" w14:textId="1E154BAE" w:rsidR="001205D3" w:rsidRPr="00D01156" w:rsidRDefault="0001093B" w:rsidP="004436B5">
      <w:pPr>
        <w:jc w:val="both"/>
      </w:pPr>
      <w:r>
        <w:t xml:space="preserve">Enfin, la quatrième partie proposera </w:t>
      </w:r>
      <w:r w:rsidR="004436B5">
        <w:t>s’examiner</w:t>
      </w:r>
      <w:r>
        <w:t xml:space="preserve"> le processus </w:t>
      </w:r>
      <w:r w:rsidR="00D26745">
        <w:t>d</w:t>
      </w:r>
      <w:r w:rsidR="00A91651">
        <w:t xml:space="preserve">’externalisation de ces unités vers le </w:t>
      </w:r>
      <w:r w:rsidR="00047E72">
        <w:t>milieu</w:t>
      </w:r>
      <w:r w:rsidR="00A91651">
        <w:t xml:space="preserve"> scolaire ordinaire</w:t>
      </w:r>
      <w:r w:rsidR="004436B5">
        <w:t xml:space="preserve"> en tant qu’instrument d’une politique publique au service </w:t>
      </w:r>
      <w:r w:rsidR="00047E72">
        <w:t>de l’inclusion des élèves en situation de handicap</w:t>
      </w:r>
      <w:r w:rsidR="00D26745">
        <w:t>.</w:t>
      </w:r>
      <w:r w:rsidR="00A91651">
        <w:t xml:space="preserve"> Nous tenterons de démontrer </w:t>
      </w:r>
      <w:r w:rsidR="00D26745">
        <w:t>comment le déploiement de cet instrument</w:t>
      </w:r>
      <w:r w:rsidR="00A91651">
        <w:t xml:space="preserve"> </w:t>
      </w:r>
      <w:r w:rsidR="00D26745">
        <w:t>aboutit à</w:t>
      </w:r>
      <w:r w:rsidR="00A91651">
        <w:t xml:space="preserve"> une nouvelle forme d’</w:t>
      </w:r>
      <w:r w:rsidR="00D20914">
        <w:t>institutionnalisation</w:t>
      </w:r>
      <w:r w:rsidR="00A91651">
        <w:t xml:space="preserve"> </w:t>
      </w:r>
      <w:r w:rsidR="00047E72">
        <w:t>de ces élèves</w:t>
      </w:r>
      <w:r w:rsidR="00A91651">
        <w:t xml:space="preserve">, tout en </w:t>
      </w:r>
      <w:r w:rsidR="004436B5">
        <w:t xml:space="preserve">étant présenté comme un instrument de la désinstitutionalisation. </w:t>
      </w:r>
    </w:p>
    <w:p w14:paraId="7A3EA7CD" w14:textId="77777777" w:rsidR="007227B6" w:rsidRDefault="007227B6">
      <w:pPr>
        <w:rPr>
          <w:color w:val="1F497D" w:themeColor="text2"/>
        </w:rPr>
      </w:pPr>
    </w:p>
    <w:p w14:paraId="60E043DF" w14:textId="77777777" w:rsidR="00897974" w:rsidRPr="00D01156" w:rsidRDefault="00897974" w:rsidP="00897974">
      <w:pPr>
        <w:pStyle w:val="Paragraphedeliste"/>
        <w:rPr>
          <w:b/>
          <w:sz w:val="28"/>
          <w:szCs w:val="28"/>
        </w:rPr>
      </w:pPr>
      <w:r w:rsidRPr="00D01156">
        <w:rPr>
          <w:b/>
          <w:sz w:val="28"/>
          <w:szCs w:val="28"/>
        </w:rPr>
        <w:t>Bibliographie</w:t>
      </w:r>
    </w:p>
    <w:p w14:paraId="1698A49F" w14:textId="77777777" w:rsidR="00897974" w:rsidRPr="00D01156" w:rsidRDefault="00897974" w:rsidP="00897974">
      <w:pPr>
        <w:pStyle w:val="Paragraphedeliste"/>
        <w:rPr>
          <w:b/>
          <w:sz w:val="28"/>
          <w:szCs w:val="28"/>
        </w:rPr>
      </w:pPr>
    </w:p>
    <w:p w14:paraId="78F01CBC" w14:textId="77777777" w:rsidR="000B5179" w:rsidRPr="00C31C1B" w:rsidRDefault="000B5179" w:rsidP="000B5179">
      <w:pPr>
        <w:pStyle w:val="Notedebasdepage"/>
        <w:rPr>
          <w:sz w:val="22"/>
          <w:szCs w:val="22"/>
        </w:rPr>
      </w:pPr>
      <w:r w:rsidRPr="00C31C1B">
        <w:rPr>
          <w:rStyle w:val="uppercase"/>
          <w:sz w:val="22"/>
          <w:szCs w:val="22"/>
        </w:rPr>
        <w:t>Baudot</w:t>
      </w:r>
      <w:r w:rsidRPr="00C31C1B">
        <w:rPr>
          <w:sz w:val="22"/>
          <w:szCs w:val="22"/>
        </w:rPr>
        <w:t xml:space="preserve">, P., </w:t>
      </w:r>
      <w:proofErr w:type="spellStart"/>
      <w:r w:rsidRPr="00C31C1B">
        <w:rPr>
          <w:rStyle w:val="uppercase"/>
          <w:sz w:val="22"/>
          <w:szCs w:val="22"/>
        </w:rPr>
        <w:t>Borelle</w:t>
      </w:r>
      <w:proofErr w:type="spellEnd"/>
      <w:r w:rsidRPr="00C31C1B">
        <w:rPr>
          <w:sz w:val="22"/>
          <w:szCs w:val="22"/>
        </w:rPr>
        <w:t xml:space="preserve">, C. &amp; </w:t>
      </w:r>
      <w:proofErr w:type="spellStart"/>
      <w:r w:rsidRPr="00C31C1B">
        <w:rPr>
          <w:rStyle w:val="uppercase"/>
          <w:sz w:val="22"/>
          <w:szCs w:val="22"/>
        </w:rPr>
        <w:t>Revillard</w:t>
      </w:r>
      <w:proofErr w:type="spellEnd"/>
      <w:r w:rsidRPr="00C31C1B">
        <w:rPr>
          <w:sz w:val="22"/>
          <w:szCs w:val="22"/>
        </w:rPr>
        <w:t xml:space="preserve">, A. (2013). Politiques du handicap: Introduction. </w:t>
      </w:r>
      <w:r w:rsidRPr="00C31C1B">
        <w:rPr>
          <w:i/>
          <w:iCs/>
          <w:sz w:val="22"/>
          <w:szCs w:val="22"/>
        </w:rPr>
        <w:t>Terrains &amp; travaux</w:t>
      </w:r>
      <w:r w:rsidRPr="00C31C1B">
        <w:rPr>
          <w:sz w:val="22"/>
          <w:szCs w:val="22"/>
        </w:rPr>
        <w:t xml:space="preserve">, 23(2), 5-15. </w:t>
      </w:r>
      <w:hyperlink r:id="rId11" w:history="1">
        <w:r w:rsidRPr="00C31C1B">
          <w:rPr>
            <w:rStyle w:val="Lienhypertexte"/>
            <w:sz w:val="22"/>
            <w:szCs w:val="22"/>
          </w:rPr>
          <w:t>https://www.cairn.info/revue-terrains-et-travaux-2013-2-page-5.htm</w:t>
        </w:r>
      </w:hyperlink>
      <w:r w:rsidRPr="00C31C1B">
        <w:rPr>
          <w:sz w:val="22"/>
          <w:szCs w:val="22"/>
        </w:rPr>
        <w:t>.</w:t>
      </w:r>
    </w:p>
    <w:p w14:paraId="2E8B423F" w14:textId="77777777" w:rsidR="000B5179" w:rsidRPr="00C31C1B" w:rsidRDefault="000B5179" w:rsidP="000B5179">
      <w:pPr>
        <w:pStyle w:val="Notedebasdepage"/>
        <w:rPr>
          <w:sz w:val="22"/>
          <w:szCs w:val="22"/>
        </w:rPr>
      </w:pPr>
    </w:p>
    <w:p w14:paraId="2F793EBC" w14:textId="77777777" w:rsidR="000B5179" w:rsidRPr="00C31C1B" w:rsidRDefault="000B5179" w:rsidP="000B5179">
      <w:pPr>
        <w:pStyle w:val="Notedebasdepage"/>
        <w:rPr>
          <w:sz w:val="22"/>
          <w:szCs w:val="22"/>
        </w:rPr>
      </w:pPr>
      <w:r w:rsidRPr="00C31C1B">
        <w:rPr>
          <w:rStyle w:val="uppercase"/>
          <w:sz w:val="22"/>
          <w:szCs w:val="22"/>
        </w:rPr>
        <w:t>Breton</w:t>
      </w:r>
      <w:r w:rsidRPr="00C31C1B">
        <w:rPr>
          <w:sz w:val="22"/>
          <w:szCs w:val="22"/>
        </w:rPr>
        <w:t xml:space="preserve">, É. &amp; </w:t>
      </w:r>
      <w:r w:rsidRPr="00C31C1B">
        <w:rPr>
          <w:rStyle w:val="uppercase"/>
          <w:sz w:val="22"/>
          <w:szCs w:val="22"/>
        </w:rPr>
        <w:t>Perrier</w:t>
      </w:r>
      <w:r w:rsidRPr="00C31C1B">
        <w:rPr>
          <w:sz w:val="22"/>
          <w:szCs w:val="22"/>
        </w:rPr>
        <w:t xml:space="preserve">, G. (2018). Politique des mots d’ordre réformateurs: Le travail administratif face aux injonctions modernisatrices de l’État. </w:t>
      </w:r>
      <w:proofErr w:type="spellStart"/>
      <w:r w:rsidRPr="00C31C1B">
        <w:rPr>
          <w:i/>
          <w:iCs/>
          <w:sz w:val="22"/>
          <w:szCs w:val="22"/>
        </w:rPr>
        <w:t>Politix</w:t>
      </w:r>
      <w:proofErr w:type="spellEnd"/>
      <w:r w:rsidRPr="00C31C1B">
        <w:rPr>
          <w:sz w:val="22"/>
          <w:szCs w:val="22"/>
        </w:rPr>
        <w:t>,  124(4), 7-32. doi:10.3917/pox.124.0007.</w:t>
      </w:r>
    </w:p>
    <w:p w14:paraId="59686F96" w14:textId="77777777" w:rsidR="000B5179" w:rsidRPr="00C31C1B" w:rsidRDefault="000B5179" w:rsidP="000B5179">
      <w:pPr>
        <w:pStyle w:val="Notedebasdepage"/>
        <w:rPr>
          <w:sz w:val="22"/>
          <w:szCs w:val="22"/>
        </w:rPr>
      </w:pPr>
    </w:p>
    <w:p w14:paraId="168DBDAA" w14:textId="77777777" w:rsidR="000B5179" w:rsidRPr="00C31C1B" w:rsidRDefault="000B5179" w:rsidP="000B5179">
      <w:pPr>
        <w:pStyle w:val="Notedebasdepage"/>
        <w:rPr>
          <w:sz w:val="22"/>
          <w:szCs w:val="22"/>
        </w:rPr>
      </w:pPr>
      <w:r w:rsidRPr="00C31C1B">
        <w:rPr>
          <w:sz w:val="22"/>
          <w:szCs w:val="22"/>
        </w:rPr>
        <w:t xml:space="preserve">Vincent Dubois, « Politique au guichet, politiques du guichet », in Olivier </w:t>
      </w:r>
      <w:proofErr w:type="spellStart"/>
      <w:r w:rsidRPr="00C31C1B">
        <w:rPr>
          <w:sz w:val="22"/>
          <w:szCs w:val="22"/>
        </w:rPr>
        <w:t>Borraz</w:t>
      </w:r>
      <w:proofErr w:type="spellEnd"/>
      <w:r w:rsidRPr="00C31C1B">
        <w:rPr>
          <w:sz w:val="22"/>
          <w:szCs w:val="22"/>
        </w:rPr>
        <w:t xml:space="preserve"> et Virginie </w:t>
      </w:r>
      <w:proofErr w:type="spellStart"/>
      <w:r w:rsidRPr="00C31C1B">
        <w:rPr>
          <w:sz w:val="22"/>
          <w:szCs w:val="22"/>
        </w:rPr>
        <w:t>Guiraudon</w:t>
      </w:r>
      <w:proofErr w:type="spellEnd"/>
      <w:r w:rsidRPr="00C31C1B">
        <w:rPr>
          <w:sz w:val="22"/>
          <w:szCs w:val="22"/>
        </w:rPr>
        <w:t xml:space="preserve"> (</w:t>
      </w:r>
      <w:proofErr w:type="spellStart"/>
      <w:r w:rsidRPr="00C31C1B">
        <w:rPr>
          <w:sz w:val="22"/>
          <w:szCs w:val="22"/>
        </w:rPr>
        <w:t>dir</w:t>
      </w:r>
      <w:proofErr w:type="spellEnd"/>
      <w:r w:rsidRPr="00C31C1B">
        <w:rPr>
          <w:sz w:val="22"/>
          <w:szCs w:val="22"/>
        </w:rPr>
        <w:t xml:space="preserve">.), </w:t>
      </w:r>
      <w:r w:rsidRPr="00C31C1B">
        <w:rPr>
          <w:rStyle w:val="Accentuation"/>
          <w:sz w:val="22"/>
          <w:szCs w:val="22"/>
        </w:rPr>
        <w:t>Politiques publiques 2. Des politiques pour changer la société</w:t>
      </w:r>
      <w:r w:rsidRPr="00C31C1B">
        <w:rPr>
          <w:sz w:val="22"/>
          <w:szCs w:val="22"/>
        </w:rPr>
        <w:t>, Paris, Presses de Sciences Po, 2010</w:t>
      </w:r>
    </w:p>
    <w:p w14:paraId="56B1D303" w14:textId="77777777" w:rsidR="000B5179" w:rsidRPr="00C31C1B" w:rsidRDefault="000B5179" w:rsidP="000B5179">
      <w:pPr>
        <w:pStyle w:val="Notedebasdepage"/>
        <w:rPr>
          <w:sz w:val="22"/>
          <w:szCs w:val="22"/>
        </w:rPr>
      </w:pPr>
    </w:p>
    <w:p w14:paraId="7EF8F307" w14:textId="77777777" w:rsidR="000B5179" w:rsidRPr="0094364F" w:rsidRDefault="000B5179" w:rsidP="0094364F">
      <w:proofErr w:type="spellStart"/>
      <w:r w:rsidRPr="00311579">
        <w:rPr>
          <w:rStyle w:val="uppercase"/>
        </w:rPr>
        <w:t>Frinault</w:t>
      </w:r>
      <w:proofErr w:type="spellEnd"/>
      <w:r w:rsidRPr="00311579">
        <w:t xml:space="preserve">, T. (2005). La réforme française de l'allocation dépendance ou comment bricoler une politique publique. </w:t>
      </w:r>
      <w:r w:rsidRPr="00C31C1B">
        <w:rPr>
          <w:i/>
          <w:iCs/>
        </w:rPr>
        <w:t>Revue française de science politique</w:t>
      </w:r>
      <w:r w:rsidRPr="00C31C1B">
        <w:t xml:space="preserve">, vol. 55(4), 607-632. </w:t>
      </w:r>
    </w:p>
    <w:p w14:paraId="2F9044B0" w14:textId="77777777" w:rsidR="000B5179" w:rsidRPr="00C31C1B" w:rsidRDefault="000B5179" w:rsidP="000B5179">
      <w:pPr>
        <w:spacing w:after="0" w:line="240" w:lineRule="auto"/>
        <w:rPr>
          <w:rFonts w:eastAsia="Times New Roman" w:cs="Times New Roman"/>
          <w:lang w:eastAsia="fr-FR"/>
        </w:rPr>
      </w:pPr>
      <w:r w:rsidRPr="00C31C1B">
        <w:rPr>
          <w:rFonts w:eastAsia="Times New Roman" w:cs="Times New Roman"/>
          <w:lang w:eastAsia="fr-FR"/>
        </w:rPr>
        <w:lastRenderedPageBreak/>
        <w:t>Jacquot</w:t>
      </w:r>
      <w:r w:rsidRPr="00C31C1B">
        <w:rPr>
          <w:rFonts w:eastAsia="Times New Roman" w:cs="Times New Roman"/>
          <w:shd w:val="clear" w:color="auto" w:fill="FFFFFF"/>
          <w:lang w:eastAsia="fr-FR"/>
        </w:rPr>
        <w:t>, S. &amp; </w:t>
      </w:r>
      <w:r w:rsidRPr="00C31C1B">
        <w:rPr>
          <w:rFonts w:eastAsia="Times New Roman" w:cs="Times New Roman"/>
          <w:lang w:eastAsia="fr-FR"/>
        </w:rPr>
        <w:t>Halpern</w:t>
      </w:r>
      <w:r w:rsidRPr="00C31C1B">
        <w:rPr>
          <w:rFonts w:eastAsia="Times New Roman" w:cs="Times New Roman"/>
          <w:shd w:val="clear" w:color="auto" w:fill="FFFFFF"/>
          <w:lang w:eastAsia="fr-FR"/>
        </w:rPr>
        <w:t>, C. (2015). </w:t>
      </w:r>
      <w:r w:rsidRPr="00C31C1B">
        <w:rPr>
          <w:rFonts w:eastAsia="Times New Roman" w:cs="Times New Roman"/>
          <w:i/>
          <w:iCs/>
          <w:lang w:eastAsia="fr-FR"/>
        </w:rPr>
        <w:t>Chapitre 2 / </w:t>
      </w:r>
      <w:r w:rsidRPr="00C31C1B">
        <w:rPr>
          <w:rFonts w:eastAsia="Times New Roman" w:cs="Times New Roman"/>
          <w:shd w:val="clear" w:color="auto" w:fill="FFFFFF"/>
          <w:lang w:eastAsia="fr-FR"/>
        </w:rPr>
        <w:t xml:space="preserve">Aux frontières de l’action publique: L’instrumentation comme logique de (dé)sectorisation. Dans : Laurie </w:t>
      </w:r>
      <w:proofErr w:type="spellStart"/>
      <w:r w:rsidRPr="00C31C1B">
        <w:rPr>
          <w:rFonts w:eastAsia="Times New Roman" w:cs="Times New Roman"/>
          <w:shd w:val="clear" w:color="auto" w:fill="FFFFFF"/>
          <w:lang w:eastAsia="fr-FR"/>
        </w:rPr>
        <w:t>Boussaguet</w:t>
      </w:r>
      <w:proofErr w:type="spellEnd"/>
      <w:r w:rsidRPr="00C31C1B">
        <w:rPr>
          <w:rFonts w:eastAsia="Times New Roman" w:cs="Times New Roman"/>
          <w:shd w:val="clear" w:color="auto" w:fill="FFFFFF"/>
          <w:lang w:eastAsia="fr-FR"/>
        </w:rPr>
        <w:t xml:space="preserve"> éd., </w:t>
      </w:r>
      <w:r w:rsidRPr="00C31C1B">
        <w:rPr>
          <w:rFonts w:eastAsia="Times New Roman" w:cs="Times New Roman"/>
          <w:i/>
          <w:iCs/>
          <w:lang w:eastAsia="fr-FR"/>
        </w:rPr>
        <w:t xml:space="preserve">Une French </w:t>
      </w:r>
      <w:proofErr w:type="spellStart"/>
      <w:r w:rsidRPr="00C31C1B">
        <w:rPr>
          <w:rFonts w:eastAsia="Times New Roman" w:cs="Times New Roman"/>
          <w:i/>
          <w:iCs/>
          <w:lang w:eastAsia="fr-FR"/>
        </w:rPr>
        <w:t>touch</w:t>
      </w:r>
      <w:proofErr w:type="spellEnd"/>
      <w:r w:rsidRPr="00C31C1B">
        <w:rPr>
          <w:rFonts w:eastAsia="Times New Roman" w:cs="Times New Roman"/>
          <w:i/>
          <w:iCs/>
          <w:lang w:eastAsia="fr-FR"/>
        </w:rPr>
        <w:t xml:space="preserve"> dans l'analyse des politiques publiques </w:t>
      </w:r>
      <w:r w:rsidRPr="00C31C1B">
        <w:rPr>
          <w:rFonts w:eastAsia="Times New Roman" w:cs="Times New Roman"/>
          <w:shd w:val="clear" w:color="auto" w:fill="FFFFFF"/>
          <w:lang w:eastAsia="fr-FR"/>
        </w:rPr>
        <w:t> (pp. 57-84). Paris: Presses de Sciences Po.</w:t>
      </w:r>
    </w:p>
    <w:p w14:paraId="4CA7D234" w14:textId="77777777" w:rsidR="000B5179" w:rsidRDefault="000B5179" w:rsidP="00897974">
      <w:pPr>
        <w:pStyle w:val="Notedebasdepage"/>
        <w:rPr>
          <w:rStyle w:val="uppercase"/>
          <w:sz w:val="22"/>
          <w:szCs w:val="22"/>
        </w:rPr>
      </w:pPr>
    </w:p>
    <w:p w14:paraId="38B30CAA" w14:textId="1909761D" w:rsidR="0094233D" w:rsidRPr="009B74B5" w:rsidRDefault="000B5179" w:rsidP="009B74B5">
      <w:pPr>
        <w:spacing w:after="0" w:line="240" w:lineRule="auto"/>
        <w:rPr>
          <w:rFonts w:eastAsia="Times New Roman" w:cs="Times New Roman"/>
          <w:lang w:eastAsia="fr-FR"/>
        </w:rPr>
      </w:pPr>
      <w:r w:rsidRPr="00C31C1B">
        <w:rPr>
          <w:rFonts w:eastAsia="Times New Roman" w:cs="Times New Roman"/>
          <w:lang w:eastAsia="fr-FR"/>
        </w:rPr>
        <w:t>Rolland</w:t>
      </w:r>
      <w:r w:rsidRPr="00C31C1B">
        <w:rPr>
          <w:rFonts w:eastAsia="Times New Roman" w:cs="Times New Roman"/>
          <w:shd w:val="clear" w:color="auto" w:fill="FFFFFF"/>
          <w:lang w:eastAsia="fr-FR"/>
        </w:rPr>
        <w:t>, C. &amp; </w:t>
      </w:r>
      <w:proofErr w:type="spellStart"/>
      <w:r w:rsidRPr="00C31C1B">
        <w:rPr>
          <w:rFonts w:eastAsia="Times New Roman" w:cs="Times New Roman"/>
          <w:lang w:eastAsia="fr-FR"/>
        </w:rPr>
        <w:t>Pierru</w:t>
      </w:r>
      <w:proofErr w:type="spellEnd"/>
      <w:r w:rsidRPr="00C31C1B">
        <w:rPr>
          <w:rFonts w:eastAsia="Times New Roman" w:cs="Times New Roman"/>
          <w:shd w:val="clear" w:color="auto" w:fill="FFFFFF"/>
          <w:lang w:eastAsia="fr-FR"/>
        </w:rPr>
        <w:t>, F. (2013). Les Agences Régionales de Santé deux ans après : une autonomie de façade. </w:t>
      </w:r>
      <w:r w:rsidRPr="00C31C1B">
        <w:rPr>
          <w:rFonts w:eastAsia="Times New Roman" w:cs="Times New Roman"/>
          <w:i/>
          <w:iCs/>
          <w:lang w:eastAsia="fr-FR"/>
        </w:rPr>
        <w:t>Santé Publique</w:t>
      </w:r>
      <w:r w:rsidRPr="00C31C1B">
        <w:rPr>
          <w:rFonts w:eastAsia="Times New Roman" w:cs="Times New Roman"/>
          <w:shd w:val="clear" w:color="auto" w:fill="FFFFFF"/>
          <w:lang w:eastAsia="fr-FR"/>
        </w:rPr>
        <w:t>, vol. 25(4), 411-419. doi:10.3917/spub.134.0411.</w:t>
      </w:r>
    </w:p>
    <w:sectPr w:rsidR="0094233D" w:rsidRPr="009B74B5" w:rsidSect="0094364F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7400C8" w15:done="0"/>
  <w15:commentEx w15:paraId="2FB6D5D3" w15:done="0"/>
  <w15:commentEx w15:paraId="1D6808C1" w15:done="0"/>
  <w15:commentEx w15:paraId="50EE6F28" w15:done="0"/>
  <w15:commentEx w15:paraId="662B2440" w15:done="0"/>
  <w15:commentEx w15:paraId="35CA3AF9" w15:done="0"/>
  <w15:commentEx w15:paraId="5078B6E5" w15:done="0"/>
  <w15:commentEx w15:paraId="393BA53B" w15:done="0"/>
  <w15:commentEx w15:paraId="38829F31" w15:done="0"/>
  <w15:commentEx w15:paraId="723C54EF" w15:done="0"/>
  <w15:commentEx w15:paraId="0909DEE6" w15:done="0"/>
  <w15:commentEx w15:paraId="3F24E4D4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19B25" w14:textId="77777777" w:rsidR="002B1035" w:rsidRDefault="002B1035" w:rsidP="00C47D24">
      <w:pPr>
        <w:spacing w:after="0" w:line="240" w:lineRule="auto"/>
      </w:pPr>
      <w:r>
        <w:separator/>
      </w:r>
    </w:p>
  </w:endnote>
  <w:endnote w:type="continuationSeparator" w:id="0">
    <w:p w14:paraId="2C3BEF7B" w14:textId="77777777" w:rsidR="002B1035" w:rsidRDefault="002B1035" w:rsidP="00C4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04CD0" w14:textId="77777777" w:rsidR="002B1035" w:rsidRDefault="002B1035" w:rsidP="009B74B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5DFC408" w14:textId="77777777" w:rsidR="002B1035" w:rsidRDefault="002B1035" w:rsidP="009B74B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7B4FB" w14:textId="77777777" w:rsidR="002B1035" w:rsidRDefault="002B1035" w:rsidP="009B74B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D744F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D2368E0" w14:textId="5EE0625C" w:rsidR="002B1035" w:rsidRDefault="002B1035" w:rsidP="009B74B5">
    <w:pPr>
      <w:pStyle w:val="Pieddepage"/>
      <w:ind w:right="360"/>
      <w:jc w:val="right"/>
    </w:pPr>
  </w:p>
  <w:p w14:paraId="027B3A90" w14:textId="77777777" w:rsidR="002B1035" w:rsidRDefault="002B1035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D549F" w14:textId="77777777" w:rsidR="002B1035" w:rsidRDefault="002B1035" w:rsidP="00C47D24">
      <w:pPr>
        <w:spacing w:after="0" w:line="240" w:lineRule="auto"/>
      </w:pPr>
      <w:r>
        <w:separator/>
      </w:r>
    </w:p>
  </w:footnote>
  <w:footnote w:type="continuationSeparator" w:id="0">
    <w:p w14:paraId="7E203965" w14:textId="77777777" w:rsidR="002B1035" w:rsidRDefault="002B1035" w:rsidP="00C47D24">
      <w:pPr>
        <w:spacing w:after="0" w:line="240" w:lineRule="auto"/>
      </w:pPr>
      <w:r>
        <w:continuationSeparator/>
      </w:r>
    </w:p>
  </w:footnote>
  <w:footnote w:id="1">
    <w:p w14:paraId="1E6A6871" w14:textId="77777777" w:rsidR="002B1035" w:rsidRPr="004474BE" w:rsidRDefault="002B1035" w:rsidP="004474BE">
      <w:pPr>
        <w:pStyle w:val="Notedebasdepage"/>
      </w:pPr>
      <w:r w:rsidRPr="004474BE">
        <w:rPr>
          <w:rStyle w:val="Marquenotebasdepage"/>
        </w:rPr>
        <w:footnoteRef/>
      </w:r>
      <w:r w:rsidRPr="00F43CA6">
        <w:t xml:space="preserve">La scolarisation des élèves en situation de handicap, Ministère de l’Education Nationale </w:t>
      </w:r>
      <w:hyperlink r:id="rId1" w:history="1">
        <w:r w:rsidRPr="004474BE">
          <w:rPr>
            <w:rStyle w:val="Lienhypertexte"/>
          </w:rPr>
          <w:t>http://www.education.gouv.fr/cid207/la-scolarisation-des-eleves-en-situation-de-handicap.html</w:t>
        </w:r>
      </w:hyperlink>
      <w:r w:rsidRPr="004474BE">
        <w:t xml:space="preserve">. </w:t>
      </w:r>
    </w:p>
  </w:footnote>
  <w:footnote w:id="2">
    <w:p w14:paraId="73357A42" w14:textId="33684521" w:rsidR="002B1035" w:rsidRPr="004474BE" w:rsidRDefault="002B1035" w:rsidP="00F43CA6">
      <w:pPr>
        <w:spacing w:line="240" w:lineRule="auto"/>
        <w:rPr>
          <w:sz w:val="20"/>
          <w:szCs w:val="20"/>
        </w:rPr>
      </w:pPr>
      <w:r w:rsidRPr="00F43CA6">
        <w:rPr>
          <w:rStyle w:val="Marquenotebasdepage"/>
          <w:sz w:val="20"/>
          <w:szCs w:val="20"/>
        </w:rPr>
        <w:footnoteRef/>
      </w:r>
      <w:r w:rsidRPr="00F43CA6">
        <w:rPr>
          <w:sz w:val="20"/>
          <w:szCs w:val="20"/>
        </w:rPr>
        <w:t xml:space="preserve"> </w:t>
      </w:r>
      <w:hyperlink r:id="rId2" w:history="1">
        <w:r w:rsidRPr="00107B63">
          <w:rPr>
            <w:rStyle w:val="Lienhypertexte"/>
            <w:sz w:val="20"/>
            <w:szCs w:val="20"/>
          </w:rPr>
          <w:t>https://drees.solidarites-sante.gouv.fr/sites/default/files/2020-12/er1170.pdf</w:t>
        </w:r>
      </w:hyperlink>
      <w:r>
        <w:rPr>
          <w:sz w:val="20"/>
          <w:szCs w:val="20"/>
        </w:rPr>
        <w:t xml:space="preserve"> </w:t>
      </w:r>
    </w:p>
  </w:footnote>
  <w:footnote w:id="3">
    <w:p w14:paraId="541F8A0C" w14:textId="77777777" w:rsidR="002B1035" w:rsidRPr="004474BE" w:rsidRDefault="002B1035" w:rsidP="007F47A6">
      <w:pPr>
        <w:pStyle w:val="Notedebasdepage"/>
        <w:rPr>
          <w:rFonts w:eastAsia="Calibri"/>
          <w:bCs/>
        </w:rPr>
      </w:pPr>
      <w:r w:rsidRPr="00F43CA6">
        <w:rPr>
          <w:rStyle w:val="Marquenotebasdepage"/>
        </w:rPr>
        <w:footnoteRef/>
      </w:r>
      <w:r w:rsidRPr="00F43CA6">
        <w:t xml:space="preserve"> </w:t>
      </w:r>
      <w:r w:rsidRPr="00F43CA6">
        <w:rPr>
          <w:rFonts w:eastAsia="Calibri"/>
          <w:bCs/>
        </w:rPr>
        <w:t>Loi n° 2005-102 du 11 février 2005 pour l'égalité des droits et des chances, la participation et la citoyenneté des personnes handicapées.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B5995"/>
    <w:multiLevelType w:val="hybridMultilevel"/>
    <w:tmpl w:val="07D0F068"/>
    <w:lvl w:ilvl="0" w:tplc="DA58FB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5678B"/>
    <w:multiLevelType w:val="hybridMultilevel"/>
    <w:tmpl w:val="C9403C6E"/>
    <w:lvl w:ilvl="0" w:tplc="002C0D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A55A0"/>
    <w:multiLevelType w:val="hybridMultilevel"/>
    <w:tmpl w:val="76ECC876"/>
    <w:lvl w:ilvl="0" w:tplc="958245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F40F2"/>
    <w:multiLevelType w:val="hybridMultilevel"/>
    <w:tmpl w:val="8C22A1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*">
    <w15:presenceInfo w15:providerId="None" w15:userId="*"/>
  </w15:person>
  <w15:person w15:author="Coron, Gaël">
    <w15:presenceInfo w15:providerId="AD" w15:userId="S-1-5-21-1123561945-813497703-682003330-140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EC8"/>
    <w:rsid w:val="00004179"/>
    <w:rsid w:val="0001093B"/>
    <w:rsid w:val="00012751"/>
    <w:rsid w:val="00020215"/>
    <w:rsid w:val="00034037"/>
    <w:rsid w:val="00047035"/>
    <w:rsid w:val="00047E72"/>
    <w:rsid w:val="00067542"/>
    <w:rsid w:val="00095C27"/>
    <w:rsid w:val="000B5179"/>
    <w:rsid w:val="000B58B0"/>
    <w:rsid w:val="000C247E"/>
    <w:rsid w:val="000D4036"/>
    <w:rsid w:val="00101722"/>
    <w:rsid w:val="00105FD5"/>
    <w:rsid w:val="00115F83"/>
    <w:rsid w:val="0011670D"/>
    <w:rsid w:val="001205D3"/>
    <w:rsid w:val="001472F6"/>
    <w:rsid w:val="00156C77"/>
    <w:rsid w:val="00157C44"/>
    <w:rsid w:val="00161B5B"/>
    <w:rsid w:val="00171A30"/>
    <w:rsid w:val="00175DFA"/>
    <w:rsid w:val="00186329"/>
    <w:rsid w:val="001A20D6"/>
    <w:rsid w:val="001A70AB"/>
    <w:rsid w:val="001C3D72"/>
    <w:rsid w:val="001F77BD"/>
    <w:rsid w:val="0021403F"/>
    <w:rsid w:val="00231D3C"/>
    <w:rsid w:val="00237646"/>
    <w:rsid w:val="00250AC4"/>
    <w:rsid w:val="00253D47"/>
    <w:rsid w:val="002724CC"/>
    <w:rsid w:val="00272727"/>
    <w:rsid w:val="00281715"/>
    <w:rsid w:val="00296953"/>
    <w:rsid w:val="002A59E7"/>
    <w:rsid w:val="002B1035"/>
    <w:rsid w:val="002E6EC8"/>
    <w:rsid w:val="002F2758"/>
    <w:rsid w:val="00300A1B"/>
    <w:rsid w:val="0031220C"/>
    <w:rsid w:val="0032618C"/>
    <w:rsid w:val="00332ACD"/>
    <w:rsid w:val="0034655E"/>
    <w:rsid w:val="003564BF"/>
    <w:rsid w:val="003604C4"/>
    <w:rsid w:val="00367132"/>
    <w:rsid w:val="00375473"/>
    <w:rsid w:val="00375ADE"/>
    <w:rsid w:val="00390992"/>
    <w:rsid w:val="00392CAA"/>
    <w:rsid w:val="003B1286"/>
    <w:rsid w:val="003B6C2C"/>
    <w:rsid w:val="003C1461"/>
    <w:rsid w:val="003E5B42"/>
    <w:rsid w:val="003F2BB0"/>
    <w:rsid w:val="00432116"/>
    <w:rsid w:val="00433B2A"/>
    <w:rsid w:val="004436B5"/>
    <w:rsid w:val="004474BE"/>
    <w:rsid w:val="0047428B"/>
    <w:rsid w:val="00497704"/>
    <w:rsid w:val="004A3F71"/>
    <w:rsid w:val="004B6E68"/>
    <w:rsid w:val="004D6C56"/>
    <w:rsid w:val="00512963"/>
    <w:rsid w:val="00517BD6"/>
    <w:rsid w:val="005234D0"/>
    <w:rsid w:val="005331A4"/>
    <w:rsid w:val="005428C3"/>
    <w:rsid w:val="00543EB7"/>
    <w:rsid w:val="005558A7"/>
    <w:rsid w:val="005607E0"/>
    <w:rsid w:val="00576649"/>
    <w:rsid w:val="005C4817"/>
    <w:rsid w:val="006132E0"/>
    <w:rsid w:val="00615AD1"/>
    <w:rsid w:val="006374D3"/>
    <w:rsid w:val="0064142D"/>
    <w:rsid w:val="0064411E"/>
    <w:rsid w:val="00664848"/>
    <w:rsid w:val="00691D79"/>
    <w:rsid w:val="00693308"/>
    <w:rsid w:val="006A31D2"/>
    <w:rsid w:val="006A58A9"/>
    <w:rsid w:val="006A7085"/>
    <w:rsid w:val="006A7637"/>
    <w:rsid w:val="006D470A"/>
    <w:rsid w:val="006D744F"/>
    <w:rsid w:val="006E2F73"/>
    <w:rsid w:val="006E4C00"/>
    <w:rsid w:val="00700053"/>
    <w:rsid w:val="007227B6"/>
    <w:rsid w:val="00751993"/>
    <w:rsid w:val="0077181A"/>
    <w:rsid w:val="00774909"/>
    <w:rsid w:val="00776133"/>
    <w:rsid w:val="00785B7B"/>
    <w:rsid w:val="0078641C"/>
    <w:rsid w:val="007C56B8"/>
    <w:rsid w:val="007D06CE"/>
    <w:rsid w:val="007D6CDB"/>
    <w:rsid w:val="007E5FEE"/>
    <w:rsid w:val="007F47A6"/>
    <w:rsid w:val="007F5C13"/>
    <w:rsid w:val="0080673A"/>
    <w:rsid w:val="008328CC"/>
    <w:rsid w:val="00843551"/>
    <w:rsid w:val="00846D9F"/>
    <w:rsid w:val="0085667A"/>
    <w:rsid w:val="0087776A"/>
    <w:rsid w:val="008836BE"/>
    <w:rsid w:val="00885945"/>
    <w:rsid w:val="00885F9B"/>
    <w:rsid w:val="0089015D"/>
    <w:rsid w:val="00897974"/>
    <w:rsid w:val="008A015A"/>
    <w:rsid w:val="008B72DE"/>
    <w:rsid w:val="008C5DFB"/>
    <w:rsid w:val="008E01DB"/>
    <w:rsid w:val="00915FD4"/>
    <w:rsid w:val="00925EF0"/>
    <w:rsid w:val="00927959"/>
    <w:rsid w:val="0094233D"/>
    <w:rsid w:val="0094364F"/>
    <w:rsid w:val="0095653A"/>
    <w:rsid w:val="00957D6E"/>
    <w:rsid w:val="00960574"/>
    <w:rsid w:val="009672E4"/>
    <w:rsid w:val="00986604"/>
    <w:rsid w:val="009A7727"/>
    <w:rsid w:val="009B46A1"/>
    <w:rsid w:val="009B74B5"/>
    <w:rsid w:val="009C24C8"/>
    <w:rsid w:val="009C37AE"/>
    <w:rsid w:val="009C7C1B"/>
    <w:rsid w:val="009D2191"/>
    <w:rsid w:val="009D378E"/>
    <w:rsid w:val="009D38CB"/>
    <w:rsid w:val="009E547F"/>
    <w:rsid w:val="009F4954"/>
    <w:rsid w:val="00A22D6B"/>
    <w:rsid w:val="00A2472D"/>
    <w:rsid w:val="00A31C4D"/>
    <w:rsid w:val="00A71499"/>
    <w:rsid w:val="00A81028"/>
    <w:rsid w:val="00A841E0"/>
    <w:rsid w:val="00A91651"/>
    <w:rsid w:val="00AA5B7C"/>
    <w:rsid w:val="00AB40F8"/>
    <w:rsid w:val="00AC0929"/>
    <w:rsid w:val="00AD6ABE"/>
    <w:rsid w:val="00AD7133"/>
    <w:rsid w:val="00AE1B4B"/>
    <w:rsid w:val="00AE60AB"/>
    <w:rsid w:val="00B07683"/>
    <w:rsid w:val="00B11221"/>
    <w:rsid w:val="00B246EB"/>
    <w:rsid w:val="00B276D2"/>
    <w:rsid w:val="00B46D10"/>
    <w:rsid w:val="00B61517"/>
    <w:rsid w:val="00B63263"/>
    <w:rsid w:val="00B63C3F"/>
    <w:rsid w:val="00B67822"/>
    <w:rsid w:val="00B72C8B"/>
    <w:rsid w:val="00B754DB"/>
    <w:rsid w:val="00B759E9"/>
    <w:rsid w:val="00B878BA"/>
    <w:rsid w:val="00BB2E60"/>
    <w:rsid w:val="00BC01F5"/>
    <w:rsid w:val="00BC3925"/>
    <w:rsid w:val="00BC7065"/>
    <w:rsid w:val="00BD0C11"/>
    <w:rsid w:val="00BD7023"/>
    <w:rsid w:val="00BE577C"/>
    <w:rsid w:val="00C05E57"/>
    <w:rsid w:val="00C124B1"/>
    <w:rsid w:val="00C137F3"/>
    <w:rsid w:val="00C1579A"/>
    <w:rsid w:val="00C27BE6"/>
    <w:rsid w:val="00C37A84"/>
    <w:rsid w:val="00C44A52"/>
    <w:rsid w:val="00C47D24"/>
    <w:rsid w:val="00C649AE"/>
    <w:rsid w:val="00C728F1"/>
    <w:rsid w:val="00C96A21"/>
    <w:rsid w:val="00CB15D5"/>
    <w:rsid w:val="00CB3B7F"/>
    <w:rsid w:val="00CC3232"/>
    <w:rsid w:val="00CD2E1A"/>
    <w:rsid w:val="00CD5BB4"/>
    <w:rsid w:val="00CE1A22"/>
    <w:rsid w:val="00CE5649"/>
    <w:rsid w:val="00CF5657"/>
    <w:rsid w:val="00D008B3"/>
    <w:rsid w:val="00D01156"/>
    <w:rsid w:val="00D1117D"/>
    <w:rsid w:val="00D20914"/>
    <w:rsid w:val="00D26745"/>
    <w:rsid w:val="00D4437A"/>
    <w:rsid w:val="00D46DF7"/>
    <w:rsid w:val="00D52F26"/>
    <w:rsid w:val="00D55FD1"/>
    <w:rsid w:val="00D56B3D"/>
    <w:rsid w:val="00D73064"/>
    <w:rsid w:val="00D73592"/>
    <w:rsid w:val="00D84783"/>
    <w:rsid w:val="00DC2975"/>
    <w:rsid w:val="00DD56A5"/>
    <w:rsid w:val="00DE7B54"/>
    <w:rsid w:val="00E0010F"/>
    <w:rsid w:val="00E11FA0"/>
    <w:rsid w:val="00E34720"/>
    <w:rsid w:val="00E42980"/>
    <w:rsid w:val="00EB42A9"/>
    <w:rsid w:val="00EC617E"/>
    <w:rsid w:val="00F079B4"/>
    <w:rsid w:val="00F11D80"/>
    <w:rsid w:val="00F14C59"/>
    <w:rsid w:val="00F2133B"/>
    <w:rsid w:val="00F26E21"/>
    <w:rsid w:val="00F26FB1"/>
    <w:rsid w:val="00F378DA"/>
    <w:rsid w:val="00F413F3"/>
    <w:rsid w:val="00F43CA6"/>
    <w:rsid w:val="00F45BDB"/>
    <w:rsid w:val="00F562B8"/>
    <w:rsid w:val="00F63681"/>
    <w:rsid w:val="00F70A7B"/>
    <w:rsid w:val="00F715F2"/>
    <w:rsid w:val="00F93D75"/>
    <w:rsid w:val="00F952B5"/>
    <w:rsid w:val="00FB3D7D"/>
    <w:rsid w:val="00FB5EA4"/>
    <w:rsid w:val="00FC03E2"/>
    <w:rsid w:val="00FE62DA"/>
    <w:rsid w:val="00FF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0E7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261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1221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C47D2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7D24"/>
    <w:rPr>
      <w:sz w:val="20"/>
      <w:szCs w:val="20"/>
    </w:rPr>
  </w:style>
  <w:style w:type="character" w:styleId="Marquenotebasdepage">
    <w:name w:val="footnote reference"/>
    <w:basedOn w:val="Policepardfaut"/>
    <w:uiPriority w:val="99"/>
    <w:unhideWhenUsed/>
    <w:rsid w:val="00C47D24"/>
    <w:rPr>
      <w:vertAlign w:val="superscript"/>
    </w:rPr>
  </w:style>
  <w:style w:type="character" w:styleId="Accentuation">
    <w:name w:val="Emphasis"/>
    <w:basedOn w:val="Policepardfaut"/>
    <w:uiPriority w:val="20"/>
    <w:qFormat/>
    <w:rsid w:val="00BB2E60"/>
    <w:rPr>
      <w:i/>
      <w:iCs/>
    </w:rPr>
  </w:style>
  <w:style w:type="character" w:customStyle="1" w:styleId="uppercase">
    <w:name w:val="uppercase"/>
    <w:basedOn w:val="Policepardfaut"/>
    <w:rsid w:val="00BB2E60"/>
  </w:style>
  <w:style w:type="paragraph" w:styleId="Textedebulles">
    <w:name w:val="Balloon Text"/>
    <w:basedOn w:val="Normal"/>
    <w:link w:val="TextedebullesCar"/>
    <w:uiPriority w:val="99"/>
    <w:semiHidden/>
    <w:unhideWhenUsed/>
    <w:rsid w:val="00AE1B4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B4B"/>
    <w:rPr>
      <w:rFonts w:ascii="Lucida Grande" w:hAnsi="Lucida Grande" w:cs="Lucida Grande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3261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uiPriority w:val="99"/>
    <w:unhideWhenUsed/>
    <w:rsid w:val="00FB5EA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64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4848"/>
  </w:style>
  <w:style w:type="paragraph" w:styleId="Pieddepage">
    <w:name w:val="footer"/>
    <w:basedOn w:val="Normal"/>
    <w:link w:val="PieddepageCar"/>
    <w:uiPriority w:val="99"/>
    <w:unhideWhenUsed/>
    <w:rsid w:val="00664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4848"/>
  </w:style>
  <w:style w:type="character" w:styleId="Marquedannotation">
    <w:name w:val="annotation reference"/>
    <w:basedOn w:val="Policepardfaut"/>
    <w:uiPriority w:val="99"/>
    <w:semiHidden/>
    <w:unhideWhenUsed/>
    <w:rsid w:val="00FF05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05A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05A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05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05A7"/>
    <w:rPr>
      <w:b/>
      <w:bCs/>
      <w:sz w:val="20"/>
      <w:szCs w:val="20"/>
    </w:rPr>
  </w:style>
  <w:style w:type="character" w:customStyle="1" w:styleId="e24kjd">
    <w:name w:val="e24kjd"/>
    <w:basedOn w:val="Policepardfaut"/>
    <w:rsid w:val="00543EB7"/>
  </w:style>
  <w:style w:type="paragraph" w:styleId="Rvision">
    <w:name w:val="Revision"/>
    <w:hidden/>
    <w:uiPriority w:val="99"/>
    <w:semiHidden/>
    <w:rsid w:val="00375ADE"/>
    <w:pPr>
      <w:spacing w:after="0" w:line="240" w:lineRule="auto"/>
    </w:pPr>
  </w:style>
  <w:style w:type="paragraph" w:customStyle="1" w:styleId="note">
    <w:name w:val="note"/>
    <w:basedOn w:val="Normal"/>
    <w:rsid w:val="002817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9B74B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261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1221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C47D2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7D24"/>
    <w:rPr>
      <w:sz w:val="20"/>
      <w:szCs w:val="20"/>
    </w:rPr>
  </w:style>
  <w:style w:type="character" w:styleId="Marquenotebasdepage">
    <w:name w:val="footnote reference"/>
    <w:basedOn w:val="Policepardfaut"/>
    <w:uiPriority w:val="99"/>
    <w:unhideWhenUsed/>
    <w:rsid w:val="00C47D24"/>
    <w:rPr>
      <w:vertAlign w:val="superscript"/>
    </w:rPr>
  </w:style>
  <w:style w:type="character" w:styleId="Accentuation">
    <w:name w:val="Emphasis"/>
    <w:basedOn w:val="Policepardfaut"/>
    <w:uiPriority w:val="20"/>
    <w:qFormat/>
    <w:rsid w:val="00BB2E60"/>
    <w:rPr>
      <w:i/>
      <w:iCs/>
    </w:rPr>
  </w:style>
  <w:style w:type="character" w:customStyle="1" w:styleId="uppercase">
    <w:name w:val="uppercase"/>
    <w:basedOn w:val="Policepardfaut"/>
    <w:rsid w:val="00BB2E60"/>
  </w:style>
  <w:style w:type="paragraph" w:styleId="Textedebulles">
    <w:name w:val="Balloon Text"/>
    <w:basedOn w:val="Normal"/>
    <w:link w:val="TextedebullesCar"/>
    <w:uiPriority w:val="99"/>
    <w:semiHidden/>
    <w:unhideWhenUsed/>
    <w:rsid w:val="00AE1B4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B4B"/>
    <w:rPr>
      <w:rFonts w:ascii="Lucida Grande" w:hAnsi="Lucida Grande" w:cs="Lucida Grande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3261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uiPriority w:val="99"/>
    <w:unhideWhenUsed/>
    <w:rsid w:val="00FB5EA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64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4848"/>
  </w:style>
  <w:style w:type="paragraph" w:styleId="Pieddepage">
    <w:name w:val="footer"/>
    <w:basedOn w:val="Normal"/>
    <w:link w:val="PieddepageCar"/>
    <w:uiPriority w:val="99"/>
    <w:unhideWhenUsed/>
    <w:rsid w:val="00664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4848"/>
  </w:style>
  <w:style w:type="character" w:styleId="Marquedannotation">
    <w:name w:val="annotation reference"/>
    <w:basedOn w:val="Policepardfaut"/>
    <w:uiPriority w:val="99"/>
    <w:semiHidden/>
    <w:unhideWhenUsed/>
    <w:rsid w:val="00FF05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05A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05A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05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05A7"/>
    <w:rPr>
      <w:b/>
      <w:bCs/>
      <w:sz w:val="20"/>
      <w:szCs w:val="20"/>
    </w:rPr>
  </w:style>
  <w:style w:type="character" w:customStyle="1" w:styleId="e24kjd">
    <w:name w:val="e24kjd"/>
    <w:basedOn w:val="Policepardfaut"/>
    <w:rsid w:val="00543EB7"/>
  </w:style>
  <w:style w:type="paragraph" w:styleId="Rvision">
    <w:name w:val="Revision"/>
    <w:hidden/>
    <w:uiPriority w:val="99"/>
    <w:semiHidden/>
    <w:rsid w:val="00375ADE"/>
    <w:pPr>
      <w:spacing w:after="0" w:line="240" w:lineRule="auto"/>
    </w:pPr>
  </w:style>
  <w:style w:type="paragraph" w:customStyle="1" w:styleId="note">
    <w:name w:val="note"/>
    <w:basedOn w:val="Normal"/>
    <w:rsid w:val="002817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9B7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399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cairn.info/revue-terrains-et-travaux-2013-2-page-5.htm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Sabine.baudont@gmail.com" TargetMode="External"/><Relationship Id="rId10" Type="http://schemas.openxmlformats.org/officeDocument/2006/relationships/hyperlink" Target="mailto:Gael.coron@ehesp.f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tion.gouv.fr/cid207/la-scolarisation-des-eleves-en-situation-de-handicap.html" TargetMode="External"/><Relationship Id="rId2" Type="http://schemas.openxmlformats.org/officeDocument/2006/relationships/hyperlink" Target="https://drees.solidarites-sante.gouv.fr/sites/default/files/2020-12/er1170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6692A-5491-234D-AD5C-526F7A53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960</Words>
  <Characters>5428</Characters>
  <Application>Microsoft Macintosh Word</Application>
  <DocSecurity>0</DocSecurity>
  <Lines>75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EHESP</Company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Coron, Gaël</dc:creator>
  <cp:lastModifiedBy>Sabine</cp:lastModifiedBy>
  <cp:revision>4</cp:revision>
  <cp:lastPrinted>2019-08-10T17:28:00Z</cp:lastPrinted>
  <dcterms:created xsi:type="dcterms:W3CDTF">2021-12-02T11:30:00Z</dcterms:created>
  <dcterms:modified xsi:type="dcterms:W3CDTF">2021-12-06T20:23:00Z</dcterms:modified>
</cp:coreProperties>
</file>