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C394" w14:textId="06E48C84" w:rsidR="00233FA7" w:rsidRPr="00A6793A" w:rsidRDefault="00233FA7" w:rsidP="00C14014">
      <w:pPr>
        <w:spacing w:line="276" w:lineRule="auto"/>
        <w:jc w:val="center"/>
        <w:rPr>
          <w:rFonts w:ascii="Calibri" w:hAnsi="Calibri" w:cs="Calibri"/>
          <w:b/>
          <w:bCs/>
        </w:rPr>
      </w:pPr>
      <w:r w:rsidRPr="00A6793A">
        <w:rPr>
          <w:rFonts w:ascii="Calibri" w:hAnsi="Calibri" w:cs="Calibri"/>
          <w:b/>
          <w:bCs/>
        </w:rPr>
        <w:t>Le vieillissement : l’impensé de la désinstitutionalisation ?</w:t>
      </w:r>
    </w:p>
    <w:p w14:paraId="1C692726" w14:textId="77777777" w:rsidR="0002543C" w:rsidRPr="00D47FB8" w:rsidRDefault="0002543C" w:rsidP="00C14014">
      <w:pPr>
        <w:spacing w:line="276" w:lineRule="auto"/>
        <w:jc w:val="center"/>
        <w:rPr>
          <w:rFonts w:ascii="Calibri" w:hAnsi="Calibri" w:cs="Calibri"/>
        </w:rPr>
      </w:pPr>
    </w:p>
    <w:p w14:paraId="16A7524A" w14:textId="6A349AB2" w:rsidR="00C14014" w:rsidRDefault="000A7BC7" w:rsidP="00D47FB8">
      <w:pPr>
        <w:spacing w:line="276" w:lineRule="auto"/>
        <w:ind w:firstLine="708"/>
        <w:jc w:val="both"/>
        <w:rPr>
          <w:rFonts w:ascii="Calibri" w:hAnsi="Calibri" w:cs="Calibri"/>
        </w:rPr>
      </w:pPr>
      <w:r w:rsidRPr="00D47FB8">
        <w:rPr>
          <w:rFonts w:ascii="Calibri" w:hAnsi="Calibri" w:cs="Calibri"/>
        </w:rPr>
        <w:t>Depuis plusieurs années</w:t>
      </w:r>
      <w:r w:rsidR="00866DA6" w:rsidRPr="00D47FB8">
        <w:rPr>
          <w:rFonts w:ascii="Calibri" w:hAnsi="Calibri" w:cs="Calibri"/>
        </w:rPr>
        <w:t xml:space="preserve">, </w:t>
      </w:r>
      <w:r w:rsidR="00EE450F" w:rsidRPr="00D47FB8">
        <w:rPr>
          <w:rFonts w:ascii="Calibri" w:hAnsi="Calibri" w:cs="Calibri"/>
        </w:rPr>
        <w:t xml:space="preserve">les </w:t>
      </w:r>
      <w:r w:rsidR="00866DA6" w:rsidRPr="00D47FB8">
        <w:rPr>
          <w:rFonts w:ascii="Calibri" w:hAnsi="Calibri" w:cs="Calibri"/>
        </w:rPr>
        <w:t>opportunités</w:t>
      </w:r>
      <w:r w:rsidR="00C0270A">
        <w:rPr>
          <w:rFonts w:ascii="Calibri" w:hAnsi="Calibri" w:cs="Calibri"/>
        </w:rPr>
        <w:t xml:space="preserve">, </w:t>
      </w:r>
      <w:r w:rsidR="00EE54CE" w:rsidRPr="00D47FB8">
        <w:rPr>
          <w:rFonts w:ascii="Calibri" w:hAnsi="Calibri" w:cs="Calibri"/>
        </w:rPr>
        <w:t>pour les personnes considérées comme handicapées</w:t>
      </w:r>
      <w:r w:rsidR="002A763B" w:rsidRPr="002A763B">
        <w:rPr>
          <w:rFonts w:ascii="Calibri" w:hAnsi="Calibri" w:cs="Calibri"/>
        </w:rPr>
        <w:t xml:space="preserve"> </w:t>
      </w:r>
      <w:r w:rsidR="002A763B" w:rsidRPr="00D47FB8">
        <w:rPr>
          <w:rFonts w:ascii="Calibri" w:hAnsi="Calibri" w:cs="Calibri"/>
        </w:rPr>
        <w:t>de vivre hors des institutions</w:t>
      </w:r>
      <w:r w:rsidR="002A763B">
        <w:rPr>
          <w:rFonts w:ascii="Calibri" w:hAnsi="Calibri" w:cs="Calibri"/>
        </w:rPr>
        <w:t>,</w:t>
      </w:r>
      <w:r w:rsidR="00AD5C9A" w:rsidRPr="00D47FB8">
        <w:rPr>
          <w:rFonts w:ascii="Calibri" w:hAnsi="Calibri" w:cs="Calibri"/>
        </w:rPr>
        <w:t xml:space="preserve"> dans des formes d’habitats inclusifs et/ou alternatifs</w:t>
      </w:r>
      <w:r w:rsidR="00866DA6" w:rsidRPr="00D47FB8">
        <w:rPr>
          <w:rFonts w:ascii="Calibri" w:hAnsi="Calibri" w:cs="Calibri"/>
        </w:rPr>
        <w:t xml:space="preserve">, </w:t>
      </w:r>
      <w:r w:rsidR="00EE450F" w:rsidRPr="00D47FB8">
        <w:rPr>
          <w:rFonts w:ascii="Calibri" w:hAnsi="Calibri" w:cs="Calibri"/>
        </w:rPr>
        <w:t xml:space="preserve">se multiplient. </w:t>
      </w:r>
      <w:r w:rsidR="00661058" w:rsidRPr="00D47FB8">
        <w:rPr>
          <w:rFonts w:ascii="Calibri" w:hAnsi="Calibri" w:cs="Calibri"/>
        </w:rPr>
        <w:t xml:space="preserve">Faisant écho au changement paradigmatique en cours dans le champ du handicap, </w:t>
      </w:r>
      <w:r w:rsidR="007B5012" w:rsidRPr="00D47FB8">
        <w:rPr>
          <w:rFonts w:ascii="Calibri" w:hAnsi="Calibri" w:cs="Calibri"/>
        </w:rPr>
        <w:t xml:space="preserve">ces </w:t>
      </w:r>
      <w:r w:rsidR="00530FE4" w:rsidRPr="00D47FB8">
        <w:rPr>
          <w:rFonts w:ascii="Calibri" w:hAnsi="Calibri" w:cs="Calibri"/>
        </w:rPr>
        <w:t>alt</w:t>
      </w:r>
      <w:r w:rsidR="002F3A67" w:rsidRPr="00D47FB8">
        <w:rPr>
          <w:rFonts w:ascii="Calibri" w:hAnsi="Calibri" w:cs="Calibri"/>
        </w:rPr>
        <w:t>e</w:t>
      </w:r>
      <w:r w:rsidR="00530FE4" w:rsidRPr="00D47FB8">
        <w:rPr>
          <w:rFonts w:ascii="Calibri" w:hAnsi="Calibri" w:cs="Calibri"/>
        </w:rPr>
        <w:t>r</w:t>
      </w:r>
      <w:r w:rsidR="002F3A67" w:rsidRPr="00D47FB8">
        <w:rPr>
          <w:rFonts w:ascii="Calibri" w:hAnsi="Calibri" w:cs="Calibri"/>
        </w:rPr>
        <w:t>n</w:t>
      </w:r>
      <w:r w:rsidR="00530FE4" w:rsidRPr="00D47FB8">
        <w:rPr>
          <w:rFonts w:ascii="Calibri" w:hAnsi="Calibri" w:cs="Calibri"/>
        </w:rPr>
        <w:t>atives</w:t>
      </w:r>
      <w:r w:rsidR="007B5012" w:rsidRPr="00D47FB8">
        <w:rPr>
          <w:rFonts w:ascii="Calibri" w:hAnsi="Calibri" w:cs="Calibri"/>
        </w:rPr>
        <w:t xml:space="preserve"> s’inscrivent dans des mouvements de reconnaissance des droits des personnes perçues comme handicapées, de</w:t>
      </w:r>
      <w:r w:rsidRPr="00D47FB8">
        <w:rPr>
          <w:rFonts w:ascii="Calibri" w:hAnsi="Calibri" w:cs="Calibri"/>
        </w:rPr>
        <w:t xml:space="preserve"> valorisation de la participation sociale, d’inclusion et plus largement </w:t>
      </w:r>
      <w:r w:rsidR="00CF51D5" w:rsidRPr="00D47FB8">
        <w:rPr>
          <w:rFonts w:ascii="Calibri" w:hAnsi="Calibri" w:cs="Calibri"/>
        </w:rPr>
        <w:t>d</w:t>
      </w:r>
      <w:r w:rsidRPr="00D47FB8">
        <w:rPr>
          <w:rFonts w:ascii="Calibri" w:hAnsi="Calibri" w:cs="Calibri"/>
        </w:rPr>
        <w:t>’</w:t>
      </w:r>
      <w:proofErr w:type="spellStart"/>
      <w:r w:rsidRPr="00D47FB8">
        <w:rPr>
          <w:rFonts w:ascii="Calibri" w:hAnsi="Calibri" w:cs="Calibri"/>
        </w:rPr>
        <w:t>empowerment</w:t>
      </w:r>
      <w:proofErr w:type="spellEnd"/>
      <w:r w:rsidRPr="00D47FB8">
        <w:rPr>
          <w:rFonts w:ascii="Calibri" w:hAnsi="Calibri" w:cs="Calibri"/>
        </w:rPr>
        <w:t xml:space="preserve">. </w:t>
      </w:r>
      <w:r w:rsidR="00530FE4" w:rsidRPr="00D47FB8">
        <w:rPr>
          <w:rFonts w:ascii="Calibri" w:hAnsi="Calibri" w:cs="Calibri"/>
        </w:rPr>
        <w:t xml:space="preserve">Parallèlement à ce phénomène, une nette </w:t>
      </w:r>
      <w:r w:rsidR="00CF51D5" w:rsidRPr="00D47FB8">
        <w:rPr>
          <w:rFonts w:ascii="Calibri" w:hAnsi="Calibri" w:cs="Calibri"/>
        </w:rPr>
        <w:t>augmentation</w:t>
      </w:r>
      <w:r w:rsidR="00530FE4" w:rsidRPr="00D47FB8">
        <w:rPr>
          <w:rFonts w:ascii="Calibri" w:hAnsi="Calibri" w:cs="Calibri"/>
        </w:rPr>
        <w:t xml:space="preserve"> de l’espérance de vie est observée</w:t>
      </w:r>
      <w:r w:rsidR="00CF51D5" w:rsidRPr="00D47FB8">
        <w:rPr>
          <w:rFonts w:ascii="Calibri" w:hAnsi="Calibri" w:cs="Calibri"/>
        </w:rPr>
        <w:t xml:space="preserve"> faisant apparaitre une nouvelle catégorie</w:t>
      </w:r>
      <w:r w:rsidR="00634FE5" w:rsidRPr="00D47FB8">
        <w:rPr>
          <w:rFonts w:ascii="Calibri" w:hAnsi="Calibri" w:cs="Calibri"/>
        </w:rPr>
        <w:t xml:space="preserve"> : </w:t>
      </w:r>
      <w:r w:rsidR="00CF51D5" w:rsidRPr="00D47FB8">
        <w:rPr>
          <w:rFonts w:ascii="Calibri" w:hAnsi="Calibri" w:cs="Calibri"/>
        </w:rPr>
        <w:t>« l</w:t>
      </w:r>
      <w:r w:rsidR="00AD5C9A" w:rsidRPr="00D47FB8">
        <w:rPr>
          <w:rFonts w:ascii="Calibri" w:hAnsi="Calibri" w:cs="Calibri"/>
        </w:rPr>
        <w:t>es</w:t>
      </w:r>
      <w:r w:rsidR="00CF51D5" w:rsidRPr="00D47FB8">
        <w:rPr>
          <w:rFonts w:ascii="Calibri" w:hAnsi="Calibri" w:cs="Calibri"/>
        </w:rPr>
        <w:t xml:space="preserve"> personne</w:t>
      </w:r>
      <w:r w:rsidR="00AD5C9A" w:rsidRPr="00D47FB8">
        <w:rPr>
          <w:rFonts w:ascii="Calibri" w:hAnsi="Calibri" w:cs="Calibri"/>
        </w:rPr>
        <w:t>s</w:t>
      </w:r>
      <w:r w:rsidR="00CF51D5" w:rsidRPr="00D47FB8">
        <w:rPr>
          <w:rFonts w:ascii="Calibri" w:hAnsi="Calibri" w:cs="Calibri"/>
        </w:rPr>
        <w:t xml:space="preserve"> en situation de handicap vieillissante</w:t>
      </w:r>
      <w:r w:rsidR="00AD5C9A" w:rsidRPr="00D47FB8">
        <w:rPr>
          <w:rFonts w:ascii="Calibri" w:hAnsi="Calibri" w:cs="Calibri"/>
        </w:rPr>
        <w:t>s</w:t>
      </w:r>
      <w:r w:rsidR="00CF51D5" w:rsidRPr="00D47FB8">
        <w:rPr>
          <w:rFonts w:ascii="Calibri" w:hAnsi="Calibri" w:cs="Calibri"/>
        </w:rPr>
        <w:t xml:space="preserve"> ». </w:t>
      </w:r>
      <w:r w:rsidR="00634FE5" w:rsidRPr="00D47FB8">
        <w:rPr>
          <w:rFonts w:ascii="Calibri" w:hAnsi="Calibri" w:cs="Calibri"/>
        </w:rPr>
        <w:t>Les dispositifs d’accompagnement sont mis en tension face à de nouvelles problématiques s’inscrivant au croisement du champ du handicap et de celui de la gérontologie : besoins accrus de soins médicaux</w:t>
      </w:r>
      <w:r w:rsidR="00377140">
        <w:rPr>
          <w:rFonts w:ascii="Calibri" w:hAnsi="Calibri" w:cs="Calibri"/>
        </w:rPr>
        <w:t xml:space="preserve"> mais aussi </w:t>
      </w:r>
      <w:proofErr w:type="gramStart"/>
      <w:r w:rsidR="00377140">
        <w:rPr>
          <w:rFonts w:ascii="Calibri" w:hAnsi="Calibri" w:cs="Calibri"/>
        </w:rPr>
        <w:t>en terme</w:t>
      </w:r>
      <w:proofErr w:type="gramEnd"/>
      <w:r w:rsidR="00377140">
        <w:rPr>
          <w:rFonts w:ascii="Calibri" w:hAnsi="Calibri" w:cs="Calibri"/>
        </w:rPr>
        <w:t xml:space="preserve"> </w:t>
      </w:r>
      <w:r w:rsidR="00634FE5" w:rsidRPr="00D47FB8">
        <w:rPr>
          <w:rFonts w:ascii="Calibri" w:hAnsi="Calibri" w:cs="Calibri"/>
        </w:rPr>
        <w:t xml:space="preserve">d’accompagnement </w:t>
      </w:r>
      <w:r w:rsidR="00DB3E15" w:rsidRPr="00D47FB8">
        <w:rPr>
          <w:rFonts w:ascii="Calibri" w:hAnsi="Calibri" w:cs="Calibri"/>
        </w:rPr>
        <w:t xml:space="preserve">social </w:t>
      </w:r>
      <w:r w:rsidR="00634FE5" w:rsidRPr="00D47FB8">
        <w:rPr>
          <w:rFonts w:ascii="Calibri" w:hAnsi="Calibri" w:cs="Calibri"/>
        </w:rPr>
        <w:t xml:space="preserve">pour les actes de la vie quotidienne ou encore prévention des ruptures dans le parcours de vie. </w:t>
      </w:r>
    </w:p>
    <w:p w14:paraId="02179A4A" w14:textId="5FFFD569" w:rsidR="00377140" w:rsidRPr="00C0270A" w:rsidRDefault="00CF51D5" w:rsidP="009C76BC">
      <w:pPr>
        <w:spacing w:line="276" w:lineRule="auto"/>
        <w:ind w:firstLine="708"/>
        <w:jc w:val="both"/>
        <w:rPr>
          <w:rFonts w:ascii="Calibri" w:hAnsi="Calibri" w:cs="Calibri"/>
          <w:color w:val="000000"/>
        </w:rPr>
      </w:pPr>
      <w:r w:rsidRPr="00D47FB8">
        <w:rPr>
          <w:rFonts w:ascii="Calibri" w:hAnsi="Calibri" w:cs="Calibri"/>
        </w:rPr>
        <w:t>Cette session traitera de la question du vieillissement</w:t>
      </w:r>
      <w:r w:rsidR="00AD5C9A" w:rsidRPr="00D47FB8">
        <w:rPr>
          <w:rFonts w:ascii="Calibri" w:hAnsi="Calibri" w:cs="Calibri"/>
        </w:rPr>
        <w:t xml:space="preserve"> dans le champ du handicap</w:t>
      </w:r>
      <w:r w:rsidRPr="00D47FB8">
        <w:rPr>
          <w:rFonts w:ascii="Calibri" w:hAnsi="Calibri" w:cs="Calibri"/>
        </w:rPr>
        <w:t xml:space="preserve">, de la manière dont il vient colorer l’identité sociale des personnes </w:t>
      </w:r>
      <w:r w:rsidR="00C0270A">
        <w:rPr>
          <w:rFonts w:ascii="Calibri" w:hAnsi="Calibri" w:cs="Calibri"/>
        </w:rPr>
        <w:t>concernées</w:t>
      </w:r>
      <w:r w:rsidRPr="00D47FB8">
        <w:rPr>
          <w:rFonts w:ascii="Calibri" w:hAnsi="Calibri" w:cs="Calibri"/>
        </w:rPr>
        <w:t xml:space="preserve"> et</w:t>
      </w:r>
      <w:r w:rsidR="001519A3" w:rsidRPr="00D47FB8">
        <w:rPr>
          <w:rFonts w:ascii="Calibri" w:hAnsi="Calibri" w:cs="Calibri"/>
        </w:rPr>
        <w:t xml:space="preserve"> de </w:t>
      </w:r>
      <w:r w:rsidR="00AD5C9A" w:rsidRPr="00D47FB8">
        <w:rPr>
          <w:rFonts w:ascii="Calibri" w:hAnsi="Calibri" w:cs="Calibri"/>
        </w:rPr>
        <w:t>s</w:t>
      </w:r>
      <w:r w:rsidR="001519A3" w:rsidRPr="00D47FB8">
        <w:rPr>
          <w:rFonts w:ascii="Calibri" w:hAnsi="Calibri" w:cs="Calibri"/>
        </w:rPr>
        <w:t xml:space="preserve">es incidences sur les dispositifs d’accompagnement. </w:t>
      </w:r>
      <w:r w:rsidR="00C0270A">
        <w:rPr>
          <w:rFonts w:ascii="Calibri" w:hAnsi="Calibri" w:cs="Calibri"/>
          <w:color w:val="000000"/>
        </w:rPr>
        <w:t>L</w:t>
      </w:r>
      <w:r w:rsidR="00377140">
        <w:rPr>
          <w:rFonts w:ascii="Calibri" w:hAnsi="Calibri" w:cs="Calibri"/>
          <w:color w:val="000000"/>
        </w:rPr>
        <w:t>’ensemble des interventions s’inscrivent prioritairement dans le premier axe, bien que</w:t>
      </w:r>
      <w:r w:rsidR="009C76BC">
        <w:rPr>
          <w:rFonts w:ascii="Calibri" w:hAnsi="Calibri" w:cs="Calibri"/>
          <w:color w:val="000000"/>
        </w:rPr>
        <w:t>,</w:t>
      </w:r>
      <w:r w:rsidR="00377140">
        <w:rPr>
          <w:rFonts w:ascii="Calibri" w:hAnsi="Calibri" w:cs="Calibri"/>
          <w:color w:val="000000"/>
        </w:rPr>
        <w:t xml:space="preserve"> </w:t>
      </w:r>
      <w:r w:rsidR="009C76BC">
        <w:rPr>
          <w:rFonts w:ascii="Calibri" w:hAnsi="Calibri" w:cs="Calibri"/>
        </w:rPr>
        <w:t>i</w:t>
      </w:r>
      <w:r w:rsidR="00377140" w:rsidRPr="00D47FB8">
        <w:rPr>
          <w:rFonts w:ascii="Calibri" w:hAnsi="Calibri" w:cs="Calibri"/>
        </w:rPr>
        <w:t>n fine, c’est la question de l’idéal de la désinstitutionalisation pour une population vieillissante qui sera éclairée par le biais de recherches menées dans trois pays.</w:t>
      </w:r>
      <w:r w:rsidR="00377140">
        <w:rPr>
          <w:rFonts w:ascii="Calibri" w:hAnsi="Calibri" w:cs="Calibri"/>
        </w:rPr>
        <w:t xml:space="preserve"> </w:t>
      </w:r>
      <w:r w:rsidR="000A7BC7" w:rsidRPr="00D47FB8">
        <w:rPr>
          <w:rFonts w:ascii="Calibri" w:hAnsi="Calibri" w:cs="Calibri"/>
          <w:color w:val="000000"/>
        </w:rPr>
        <w:t xml:space="preserve">La première intervention de Muriel Delporte (Université de Lille) </w:t>
      </w:r>
      <w:r w:rsidR="003727B3" w:rsidRPr="00D47FB8">
        <w:rPr>
          <w:rFonts w:ascii="Calibri" w:hAnsi="Calibri" w:cs="Calibri"/>
          <w:color w:val="000000"/>
        </w:rPr>
        <w:t xml:space="preserve">traitera </w:t>
      </w:r>
      <w:r w:rsidR="00F56ED1" w:rsidRPr="00D47FB8">
        <w:t>de l’impact de formes de socialisation ext</w:t>
      </w:r>
      <w:r w:rsidR="00445005">
        <w:t>ern</w:t>
      </w:r>
      <w:r w:rsidR="00F56ED1" w:rsidRPr="00D47FB8">
        <w:t xml:space="preserve">es à l’institution pour des personnes vieillissantes, à travers la question des parcours de vie, de la hiérarchie des rapports sociaux et de la maîtrise du temps (Handicap, vieillissement et désinstitutionalisation). </w:t>
      </w:r>
      <w:r w:rsidR="00D47FB8" w:rsidRPr="00D47FB8">
        <w:rPr>
          <w:rFonts w:ascii="Calibri" w:hAnsi="Calibri" w:cs="Calibri"/>
          <w:color w:val="000000"/>
        </w:rPr>
        <w:t xml:space="preserve">La </w:t>
      </w:r>
      <w:proofErr w:type="gramStart"/>
      <w:r w:rsidR="00D47FB8" w:rsidRPr="00D47FB8">
        <w:rPr>
          <w:rFonts w:ascii="Calibri" w:hAnsi="Calibri" w:cs="Calibri"/>
          <w:color w:val="000000"/>
        </w:rPr>
        <w:t>deuxième</w:t>
      </w:r>
      <w:proofErr w:type="gramEnd"/>
      <w:r w:rsidR="00D47FB8" w:rsidRPr="00D47FB8">
        <w:rPr>
          <w:rFonts w:ascii="Calibri" w:hAnsi="Calibri" w:cs="Calibri"/>
          <w:color w:val="000000"/>
        </w:rPr>
        <w:t xml:space="preserve"> intervention de Nathalie </w:t>
      </w:r>
      <w:proofErr w:type="spellStart"/>
      <w:r w:rsidR="00D47FB8" w:rsidRPr="00D47FB8">
        <w:rPr>
          <w:rFonts w:ascii="Calibri" w:hAnsi="Calibri" w:cs="Calibri"/>
          <w:color w:val="000000"/>
        </w:rPr>
        <w:t>Burnay</w:t>
      </w:r>
      <w:proofErr w:type="spellEnd"/>
      <w:r w:rsidR="000D2E21">
        <w:rPr>
          <w:rFonts w:ascii="Calibri" w:hAnsi="Calibri" w:cs="Calibri"/>
          <w:color w:val="000000"/>
        </w:rPr>
        <w:t xml:space="preserve"> </w:t>
      </w:r>
      <w:r w:rsidR="00D47FB8" w:rsidRPr="00D47FB8">
        <w:rPr>
          <w:rFonts w:ascii="Calibri" w:hAnsi="Calibri" w:cs="Calibri"/>
          <w:color w:val="000000"/>
        </w:rPr>
        <w:t>et Amélie Pierre</w:t>
      </w:r>
      <w:r w:rsidR="000D2E21">
        <w:rPr>
          <w:rFonts w:ascii="Calibri" w:hAnsi="Calibri" w:cs="Calibri"/>
          <w:color w:val="000000"/>
        </w:rPr>
        <w:t xml:space="preserve"> (</w:t>
      </w:r>
      <w:r w:rsidR="00D47FB8" w:rsidRPr="00D47FB8">
        <w:rPr>
          <w:rFonts w:ascii="Calibri" w:hAnsi="Calibri" w:cs="Calibri"/>
          <w:color w:val="000000"/>
        </w:rPr>
        <w:t>Université de Namur</w:t>
      </w:r>
      <w:r w:rsidR="000D2E21">
        <w:rPr>
          <w:rFonts w:ascii="Calibri" w:hAnsi="Calibri" w:cs="Calibri"/>
          <w:color w:val="000000"/>
        </w:rPr>
        <w:t>)</w:t>
      </w:r>
      <w:r w:rsidR="00D47FB8" w:rsidRPr="00D47FB8">
        <w:rPr>
          <w:rFonts w:ascii="Calibri" w:hAnsi="Calibri" w:cs="Calibri"/>
          <w:color w:val="000000"/>
        </w:rPr>
        <w:t xml:space="preserve"> interroger</w:t>
      </w:r>
      <w:r w:rsidR="000D2E21">
        <w:rPr>
          <w:rFonts w:ascii="Calibri" w:hAnsi="Calibri" w:cs="Calibri"/>
          <w:color w:val="000000"/>
        </w:rPr>
        <w:t>a</w:t>
      </w:r>
      <w:r w:rsidR="00D47FB8" w:rsidRPr="00D47FB8">
        <w:rPr>
          <w:rFonts w:ascii="Calibri" w:hAnsi="Calibri" w:cs="Calibri"/>
          <w:color w:val="000000"/>
        </w:rPr>
        <w:t xml:space="preserve"> cet impensé dans les univers professionnels. A partir d’une enquête ethnographique menée dans deux entreprises de travail adapté en Belgique, elles analysent comment la question de vieillissement est appréhendée dans des contextes organisationnels différenciés</w:t>
      </w:r>
      <w:r w:rsidR="00D47FB8">
        <w:rPr>
          <w:rFonts w:ascii="Calibri" w:hAnsi="Calibri" w:cs="Calibri"/>
          <w:color w:val="000000"/>
        </w:rPr>
        <w:t xml:space="preserve"> (</w:t>
      </w:r>
      <w:r w:rsidR="00D47FB8" w:rsidRPr="00D47FB8">
        <w:t>Vieillissement au travail et handicap : quand la structure organisationnelle s’immisce dans les parcours</w:t>
      </w:r>
      <w:r w:rsidR="00D47FB8">
        <w:t xml:space="preserve">). </w:t>
      </w:r>
      <w:r w:rsidR="000A7BC7" w:rsidRPr="00D47FB8">
        <w:rPr>
          <w:rFonts w:ascii="Calibri" w:hAnsi="Calibri" w:cs="Calibri"/>
          <w:color w:val="000000"/>
        </w:rPr>
        <w:t xml:space="preserve">La troisième intervention </w:t>
      </w:r>
      <w:r w:rsidR="003C30BB" w:rsidRPr="00D47FB8">
        <w:rPr>
          <w:rFonts w:ascii="Calibri" w:hAnsi="Calibri" w:cs="Calibri"/>
          <w:color w:val="000000"/>
        </w:rPr>
        <w:t xml:space="preserve">présentera les résultats d’une recherche menée </w:t>
      </w:r>
      <w:r w:rsidR="0098508D" w:rsidRPr="00D47FB8">
        <w:rPr>
          <w:rFonts w:ascii="Calibri" w:hAnsi="Calibri" w:cs="Calibri"/>
          <w:color w:val="000000"/>
        </w:rPr>
        <w:t xml:space="preserve">par Aline </w:t>
      </w:r>
      <w:proofErr w:type="spellStart"/>
      <w:r w:rsidR="0098508D" w:rsidRPr="00D47FB8">
        <w:rPr>
          <w:rFonts w:ascii="Calibri" w:hAnsi="Calibri" w:cs="Calibri"/>
          <w:color w:val="000000"/>
        </w:rPr>
        <w:t>Veyre</w:t>
      </w:r>
      <w:proofErr w:type="spellEnd"/>
      <w:r w:rsidR="00D47FB8">
        <w:rPr>
          <w:rFonts w:ascii="Calibri" w:hAnsi="Calibri" w:cs="Calibri"/>
          <w:color w:val="000000"/>
        </w:rPr>
        <w:t xml:space="preserve">, </w:t>
      </w:r>
      <w:r w:rsidR="0098508D" w:rsidRPr="00D47FB8">
        <w:rPr>
          <w:rFonts w:ascii="Calibri" w:hAnsi="Calibri" w:cs="Calibri"/>
          <w:color w:val="000000"/>
        </w:rPr>
        <w:t xml:space="preserve">Valérie Hugentobler, </w:t>
      </w:r>
      <w:r w:rsidR="00D47FB8">
        <w:rPr>
          <w:rFonts w:ascii="Calibri" w:hAnsi="Calibri" w:cs="Calibri"/>
          <w:color w:val="000000"/>
        </w:rPr>
        <w:t xml:space="preserve">Melissa </w:t>
      </w:r>
      <w:proofErr w:type="spellStart"/>
      <w:r w:rsidR="00D47FB8">
        <w:rPr>
          <w:rFonts w:ascii="Calibri" w:hAnsi="Calibri" w:cs="Calibri"/>
          <w:color w:val="000000"/>
        </w:rPr>
        <w:t>Ischler</w:t>
      </w:r>
      <w:proofErr w:type="spellEnd"/>
      <w:r w:rsidR="00D47FB8">
        <w:rPr>
          <w:rFonts w:ascii="Calibri" w:hAnsi="Calibri" w:cs="Calibri"/>
          <w:color w:val="000000"/>
        </w:rPr>
        <w:t xml:space="preserve"> et Ophélie </w:t>
      </w:r>
      <w:proofErr w:type="spellStart"/>
      <w:r w:rsidR="00D47FB8">
        <w:rPr>
          <w:rFonts w:ascii="Calibri" w:hAnsi="Calibri" w:cs="Calibri"/>
          <w:color w:val="000000"/>
        </w:rPr>
        <w:t>Guerdat</w:t>
      </w:r>
      <w:proofErr w:type="spellEnd"/>
      <w:r w:rsidR="00D47FB8">
        <w:rPr>
          <w:rFonts w:ascii="Calibri" w:hAnsi="Calibri" w:cs="Calibri"/>
          <w:color w:val="000000"/>
        </w:rPr>
        <w:t xml:space="preserve"> </w:t>
      </w:r>
      <w:r w:rsidR="000D2E21">
        <w:rPr>
          <w:rFonts w:ascii="Calibri" w:hAnsi="Calibri" w:cs="Calibri"/>
          <w:color w:val="000000"/>
        </w:rPr>
        <w:t>(</w:t>
      </w:r>
      <w:r w:rsidR="0098508D" w:rsidRPr="00D47FB8">
        <w:rPr>
          <w:rFonts w:ascii="Calibri" w:hAnsi="Calibri" w:cs="Calibri"/>
          <w:color w:val="000000"/>
        </w:rPr>
        <w:t xml:space="preserve">Haute </w:t>
      </w:r>
      <w:r w:rsidR="0002543C" w:rsidRPr="00D47FB8">
        <w:rPr>
          <w:rFonts w:ascii="Calibri" w:hAnsi="Calibri" w:cs="Calibri"/>
          <w:color w:val="000000"/>
        </w:rPr>
        <w:t>École</w:t>
      </w:r>
      <w:r w:rsidR="0098508D" w:rsidRPr="00D47FB8">
        <w:rPr>
          <w:rFonts w:ascii="Calibri" w:hAnsi="Calibri" w:cs="Calibri"/>
          <w:color w:val="000000"/>
        </w:rPr>
        <w:t xml:space="preserve"> de Travail social et de la Santé de Lausanne)</w:t>
      </w:r>
      <w:r w:rsidR="00377140">
        <w:rPr>
          <w:rFonts w:ascii="Calibri" w:hAnsi="Calibri" w:cs="Calibri"/>
          <w:color w:val="000000"/>
        </w:rPr>
        <w:t xml:space="preserve">, </w:t>
      </w:r>
      <w:r w:rsidR="006C41FC">
        <w:rPr>
          <w:rFonts w:ascii="Calibri" w:hAnsi="Calibri" w:cs="Calibri"/>
          <w:color w:val="000000"/>
        </w:rPr>
        <w:t>qui</w:t>
      </w:r>
      <w:r w:rsidR="0098508D" w:rsidRPr="00D47FB8">
        <w:rPr>
          <w:rFonts w:ascii="Calibri" w:hAnsi="Calibri" w:cs="Calibri"/>
          <w:color w:val="000000"/>
        </w:rPr>
        <w:t xml:space="preserve"> a pour objectif d’analyser l</w:t>
      </w:r>
      <w:r w:rsidR="008F0393" w:rsidRPr="00D47FB8">
        <w:rPr>
          <w:rFonts w:ascii="Calibri" w:hAnsi="Calibri" w:cs="Calibri"/>
          <w:color w:val="000000"/>
        </w:rPr>
        <w:t>a manière dont les politiques publiques et les institutions s’emparent de la question du vieillissement</w:t>
      </w:r>
      <w:r w:rsidR="00E87AE8" w:rsidRPr="00D47FB8">
        <w:rPr>
          <w:rFonts w:ascii="Calibri" w:hAnsi="Calibri" w:cs="Calibri"/>
          <w:color w:val="000000"/>
        </w:rPr>
        <w:t xml:space="preserve"> et comment celui-ci réinterroge </w:t>
      </w:r>
      <w:r w:rsidR="00AE320A" w:rsidRPr="00D47FB8">
        <w:rPr>
          <w:rFonts w:ascii="Calibri" w:hAnsi="Calibri" w:cs="Calibri"/>
          <w:color w:val="000000"/>
        </w:rPr>
        <w:t>l</w:t>
      </w:r>
      <w:r w:rsidR="00E87AE8" w:rsidRPr="00D47FB8">
        <w:rPr>
          <w:rFonts w:ascii="Calibri" w:hAnsi="Calibri" w:cs="Calibri"/>
          <w:color w:val="000000"/>
        </w:rPr>
        <w:t xml:space="preserve">’organisation et les prestations proposées par les </w:t>
      </w:r>
      <w:r w:rsidR="00AE320A" w:rsidRPr="00D47FB8">
        <w:rPr>
          <w:rFonts w:ascii="Calibri" w:hAnsi="Calibri" w:cs="Calibri"/>
          <w:color w:val="000000"/>
        </w:rPr>
        <w:t>institutions</w:t>
      </w:r>
      <w:r w:rsidR="00D47FB8">
        <w:rPr>
          <w:rFonts w:ascii="Calibri" w:hAnsi="Calibri" w:cs="Calibri"/>
          <w:color w:val="000000"/>
        </w:rPr>
        <w:t xml:space="preserve"> (</w:t>
      </w:r>
      <w:r w:rsidR="00D47FB8" w:rsidRPr="00D47FB8">
        <w:rPr>
          <w:rFonts w:ascii="Calibri" w:hAnsi="Calibri" w:cs="Calibri"/>
          <w:color w:val="000000"/>
        </w:rPr>
        <w:t>Interroger l’accompagnement en institution au prisme du vieillissement</w:t>
      </w:r>
      <w:r w:rsidR="00D47FB8">
        <w:rPr>
          <w:rFonts w:ascii="Calibri" w:hAnsi="Calibri" w:cs="Calibri"/>
          <w:color w:val="000000"/>
        </w:rPr>
        <w:t>)</w:t>
      </w:r>
      <w:r w:rsidR="00AE320A" w:rsidRPr="00D47FB8">
        <w:rPr>
          <w:rFonts w:ascii="Calibri" w:hAnsi="Calibri" w:cs="Calibri"/>
          <w:color w:val="000000"/>
        </w:rPr>
        <w:t>.</w:t>
      </w:r>
      <w:r w:rsidR="00377140">
        <w:rPr>
          <w:rFonts w:ascii="Calibri" w:hAnsi="Calibri" w:cs="Calibri"/>
          <w:color w:val="000000"/>
        </w:rPr>
        <w:t xml:space="preserve"> Les communications seront données en français. </w:t>
      </w:r>
    </w:p>
    <w:p w14:paraId="4F1B25B6" w14:textId="7229585F" w:rsidR="006C41FC" w:rsidRDefault="00AE320A" w:rsidP="00377140">
      <w:pPr>
        <w:spacing w:line="276" w:lineRule="auto"/>
        <w:ind w:firstLine="708"/>
        <w:jc w:val="both"/>
        <w:rPr>
          <w:rFonts w:ascii="Calibri" w:hAnsi="Calibri" w:cs="Calibri"/>
          <w:color w:val="000000"/>
        </w:rPr>
      </w:pPr>
      <w:r w:rsidRPr="00D47FB8">
        <w:rPr>
          <w:rFonts w:ascii="Calibri" w:hAnsi="Calibri" w:cs="Calibri"/>
          <w:color w:val="000000"/>
        </w:rPr>
        <w:t xml:space="preserve"> </w:t>
      </w:r>
    </w:p>
    <w:p w14:paraId="1C46A6EB" w14:textId="77777777" w:rsidR="006C41FC" w:rsidRDefault="006C41FC" w:rsidP="00D47FB8">
      <w:pPr>
        <w:spacing w:line="276" w:lineRule="auto"/>
        <w:ind w:firstLine="708"/>
        <w:jc w:val="both"/>
        <w:rPr>
          <w:rFonts w:ascii="Calibri" w:hAnsi="Calibri" w:cs="Calibri"/>
          <w:color w:val="000000"/>
        </w:rPr>
      </w:pPr>
    </w:p>
    <w:p w14:paraId="1CFCF378" w14:textId="77777777" w:rsidR="00D47FB8" w:rsidRDefault="00D47FB8">
      <w:pPr>
        <w:rPr>
          <w:rFonts w:ascii="Calibri" w:hAnsi="Calibri" w:cs="Calibri"/>
          <w:color w:val="000000"/>
        </w:rPr>
      </w:pPr>
      <w:r>
        <w:rPr>
          <w:rFonts w:ascii="Calibri" w:hAnsi="Calibri" w:cs="Calibri"/>
          <w:color w:val="000000"/>
        </w:rPr>
        <w:br w:type="page"/>
      </w:r>
    </w:p>
    <w:p w14:paraId="4E47C168" w14:textId="6B7E2FE0" w:rsidR="003C30BB" w:rsidRDefault="00D47FB8" w:rsidP="00D47FB8">
      <w:pPr>
        <w:spacing w:line="276" w:lineRule="auto"/>
        <w:ind w:firstLine="708"/>
        <w:jc w:val="both"/>
        <w:rPr>
          <w:rFonts w:ascii="Calibri" w:hAnsi="Calibri" w:cs="Calibri"/>
          <w:color w:val="000000"/>
        </w:rPr>
      </w:pPr>
      <w:r>
        <w:rPr>
          <w:rFonts w:ascii="Calibri" w:hAnsi="Calibri" w:cs="Calibri"/>
          <w:color w:val="000000"/>
        </w:rPr>
        <w:lastRenderedPageBreak/>
        <w:t xml:space="preserve">Contribution 1 : </w:t>
      </w:r>
    </w:p>
    <w:p w14:paraId="35E97365" w14:textId="77777777" w:rsidR="00D47FB8" w:rsidRPr="007B7E90" w:rsidRDefault="00D47FB8" w:rsidP="007B7E90">
      <w:pPr>
        <w:jc w:val="both"/>
        <w:rPr>
          <w:sz w:val="22"/>
          <w:szCs w:val="22"/>
        </w:rPr>
      </w:pPr>
    </w:p>
    <w:p w14:paraId="367574CD" w14:textId="77777777" w:rsidR="00071967" w:rsidRPr="000A04D5" w:rsidRDefault="00071967" w:rsidP="00071967">
      <w:pPr>
        <w:spacing w:after="240"/>
        <w:jc w:val="center"/>
        <w:rPr>
          <w:b/>
          <w:bCs/>
        </w:rPr>
      </w:pPr>
      <w:r w:rsidRPr="00380F47">
        <w:rPr>
          <w:b/>
          <w:bCs/>
        </w:rPr>
        <w:t xml:space="preserve">Handicap, vieillissement et </w:t>
      </w:r>
      <w:r>
        <w:rPr>
          <w:b/>
          <w:bCs/>
        </w:rPr>
        <w:t>désinstitutionalisation</w:t>
      </w:r>
    </w:p>
    <w:p w14:paraId="530EA3E1" w14:textId="0E9647E4" w:rsidR="00071967" w:rsidRDefault="009C76BC" w:rsidP="00071967">
      <w:pPr>
        <w:jc w:val="both"/>
      </w:pPr>
      <w:r>
        <w:t>C</w:t>
      </w:r>
      <w:r w:rsidR="00071967">
        <w:t>ette communication</w:t>
      </w:r>
      <w:r>
        <w:t xml:space="preserve"> </w:t>
      </w:r>
      <w:r w:rsidR="00071967">
        <w:t>interroge quelques enjeux de la désinstitutionalisation, envisagée comme la remise au travail d’un ensemble de normes, à partir de l’expérience du vieillissement des personnes en situation de handicap. Nous nous appuierons sur les résultats de deux recherches, l’une portant sur l’épreuve de la retraite en milieu protégé et l’autre sur le développement de l’habitat dit inclusif.</w:t>
      </w:r>
    </w:p>
    <w:p w14:paraId="73B1CC8C" w14:textId="700D4357" w:rsidR="00071967" w:rsidRDefault="00071967" w:rsidP="00071967">
      <w:pPr>
        <w:jc w:val="both"/>
      </w:pPr>
      <w:r>
        <w:t>Nous envisagerons, dans un premier temps, les enjeux générationnels</w:t>
      </w:r>
      <w:r w:rsidRPr="00AA4A3C">
        <w:t xml:space="preserve"> </w:t>
      </w:r>
      <w:r>
        <w:t xml:space="preserve">liés à la question de la désinstitutionalisation. Les personnes handicapées vieillissantes ou âgées ont en effet souvent vécu des formes de socialisation </w:t>
      </w:r>
      <w:r w:rsidRPr="004D3BBF">
        <w:t>extrêmes à l’institution</w:t>
      </w:r>
      <w:r>
        <w:t>, les privant de tout pouvoir d’agir sur les aspects les plus intimes de leur existence.</w:t>
      </w:r>
      <w:r w:rsidRPr="00AA4A3C">
        <w:t xml:space="preserve"> </w:t>
      </w:r>
      <w:r>
        <w:t>Peut-on aspirer à une vie « autonome », répondre aux injonctions de participation sociale, quand la totalité de l’organisation de sa vie quotidienne a toujours été planifiée par autrui ?</w:t>
      </w:r>
      <w:r w:rsidRPr="000A04D5">
        <w:t xml:space="preserve"> </w:t>
      </w:r>
      <w:r>
        <w:t xml:space="preserve">Nous soulignerons </w:t>
      </w:r>
      <w:r w:rsidRPr="004D3BBF">
        <w:t>les inégalités du point de vue des parcours de vie :</w:t>
      </w:r>
      <w:r>
        <w:t xml:space="preserve"> selon qu’elles ont toujours vécu chez elles, en établissement ou au sein de leur famille,</w:t>
      </w:r>
      <w:r w:rsidRPr="004D3BBF">
        <w:t xml:space="preserve"> les personnes</w:t>
      </w:r>
      <w:r>
        <w:t xml:space="preserve"> auront eu plus ou moins d'opportunités de développer de</w:t>
      </w:r>
      <w:r w:rsidRPr="00443A91">
        <w:t>s aptitudes et des compétences qui leur permettent de réaliser</w:t>
      </w:r>
      <w:r>
        <w:t xml:space="preserve"> </w:t>
      </w:r>
      <w:r w:rsidRPr="00443A91">
        <w:t>des activités domestiques, sociales ou citoyennes</w:t>
      </w:r>
      <w:r>
        <w:t>. La vie « autonome » peut ainsi s’accompagner d’un puissant isolement, quand les personnes n’ont pas été socialisées au fait d’inviter chez elles ou d’être invitées chez autrui : il s’agit d’une opportunité qu’elles ne connaissent pas.</w:t>
      </w:r>
    </w:p>
    <w:p w14:paraId="07010096" w14:textId="16EC3200" w:rsidR="00071967" w:rsidRDefault="00071967" w:rsidP="00071967">
      <w:pPr>
        <w:jc w:val="both"/>
      </w:pPr>
      <w:r>
        <w:t xml:space="preserve">Nous développerons deux dimensions qui nous semblent relever d’un processus de désinstitutionalisation. Tout d’abord, la mise en symétrie des relations entre « usagers » et professionnels. Le mouvement actuel de désinstitutionalisation suppose un changement de posture de la part des professionnels : quels que soient les murs qui encadrent leur action, ils interviennent désormais « chez » les personnes, et passent donc du statut d’accueillant à celui d’accueilli, ce qui implique une plus grande symétrie dans les relations. </w:t>
      </w:r>
      <w:r w:rsidR="009C76BC">
        <w:t>D</w:t>
      </w:r>
      <w:r>
        <w:t>’un côté comme de l’autre, ce mouvement, s’il est souhaité, reste difficile car il remet en question une hiérarchie intégrée de longue date dans les rapports sociaux. Nous interrogerons ensuite le rapport au temps. Nous verrons que les politiques publiques et les dispositifs institutionnels imposent des temporalités spécifiques, tant dans la gestion du temps quotidien que dans l’évolution des parcours de vie</w:t>
      </w:r>
      <w:r w:rsidR="009C76BC">
        <w:t xml:space="preserve">. </w:t>
      </w:r>
      <w:r>
        <w:t>Avoir ou reprendre prise sur l’organisation de son temps représente ainsi un enjeu au cœur du processus de désinstitutionalisation.</w:t>
      </w:r>
    </w:p>
    <w:p w14:paraId="4C80395B" w14:textId="77777777" w:rsidR="00071967" w:rsidRDefault="00071967" w:rsidP="00071967">
      <w:pPr>
        <w:jc w:val="both"/>
      </w:pPr>
      <w:r>
        <w:t>S’attacher à saisir l’expérience individuelle du vieillissement de personnes en situation de handicap apporte un point de vue privilégié sur l’impact d’une socialisation forte à l’institution, et donne en retour certaines clefs pour penser la désinstitutionalisation. Cette démarche nous invite également à prendre en compte la diversité des parcours de vie des personnes et à penser les supports qui leur sont nécessaires, dans le respect de leurs attentes et de leurs besoins.</w:t>
      </w:r>
    </w:p>
    <w:p w14:paraId="6E25411B" w14:textId="77777777" w:rsidR="00071967" w:rsidRDefault="00071967" w:rsidP="00071967">
      <w:pPr>
        <w:jc w:val="both"/>
      </w:pPr>
    </w:p>
    <w:p w14:paraId="263F9BFA" w14:textId="77777777" w:rsidR="00071967" w:rsidRPr="00E17343" w:rsidRDefault="00071967" w:rsidP="00071967">
      <w:pPr>
        <w:ind w:right="-113"/>
        <w:jc w:val="both"/>
      </w:pPr>
      <w:proofErr w:type="spellStart"/>
      <w:r w:rsidRPr="00E17343">
        <w:t>Barreyre</w:t>
      </w:r>
      <w:proofErr w:type="spellEnd"/>
      <w:r w:rsidRPr="00E17343">
        <w:t xml:space="preserve"> JY, Delporte M. (2018). </w:t>
      </w:r>
      <w:r w:rsidRPr="00E17343">
        <w:rPr>
          <w:i/>
        </w:rPr>
        <w:t>Le vieillissement des personnes en situation de handicap, opportunité d’un nouveau devenir ?</w:t>
      </w:r>
      <w:r w:rsidRPr="00E17343">
        <w:t xml:space="preserve"> Rapport de recherche ANCREAI, 243 p.</w:t>
      </w:r>
    </w:p>
    <w:p w14:paraId="714F8056" w14:textId="77777777" w:rsidR="00071967" w:rsidRDefault="00071967" w:rsidP="00071967">
      <w:pPr>
        <w:jc w:val="both"/>
        <w:rPr>
          <w:rFonts w:cstheme="minorHAnsi"/>
        </w:rPr>
      </w:pPr>
      <w:r>
        <w:rPr>
          <w:rFonts w:eastAsia="Times New Roman" w:cstheme="minorHAnsi"/>
          <w:lang w:eastAsia="fr-FR"/>
        </w:rPr>
        <w:t xml:space="preserve">Delporte, M. (2016). </w:t>
      </w:r>
      <w:r w:rsidRPr="00E17343">
        <w:rPr>
          <w:rFonts w:eastAsia="Times New Roman" w:cstheme="minorHAnsi"/>
          <w:i/>
          <w:iCs/>
          <w:lang w:eastAsia="fr-FR"/>
        </w:rPr>
        <w:t>L’épreuve de la retraite en milieu protégé. Les travailleurs handicapés dans la fabrique du vieillissement</w:t>
      </w:r>
      <w:r w:rsidRPr="00E17343">
        <w:rPr>
          <w:rFonts w:eastAsia="Times New Roman" w:cstheme="minorHAnsi"/>
          <w:lang w:eastAsia="fr-FR"/>
        </w:rPr>
        <w:t>.</w:t>
      </w:r>
      <w:r w:rsidRPr="00E17343">
        <w:rPr>
          <w:rFonts w:cstheme="minorHAnsi"/>
        </w:rPr>
        <w:t xml:space="preserve"> Thèse </w:t>
      </w:r>
      <w:r>
        <w:rPr>
          <w:rFonts w:cstheme="minorHAnsi"/>
        </w:rPr>
        <w:t xml:space="preserve">de sociologie </w:t>
      </w:r>
      <w:r w:rsidRPr="00E17343">
        <w:rPr>
          <w:rFonts w:cstheme="minorHAnsi"/>
        </w:rPr>
        <w:t xml:space="preserve">menée sous la direction de Vincent </w:t>
      </w:r>
      <w:proofErr w:type="spellStart"/>
      <w:r w:rsidRPr="00E17343">
        <w:rPr>
          <w:rFonts w:cstheme="minorHAnsi"/>
        </w:rPr>
        <w:t>Caradec</w:t>
      </w:r>
      <w:proofErr w:type="spellEnd"/>
      <w:r>
        <w:rPr>
          <w:rFonts w:cstheme="minorHAnsi"/>
        </w:rPr>
        <w:t xml:space="preserve">, Université de Lille. </w:t>
      </w:r>
    </w:p>
    <w:p w14:paraId="62FF888D" w14:textId="002683E2" w:rsidR="00D47FB8" w:rsidRDefault="00D47FB8" w:rsidP="00D47FB8">
      <w:pPr>
        <w:spacing w:line="276" w:lineRule="auto"/>
        <w:ind w:firstLine="708"/>
        <w:jc w:val="both"/>
        <w:rPr>
          <w:rFonts w:ascii="Calibri" w:hAnsi="Calibri" w:cs="Calibri"/>
          <w:color w:val="000000"/>
        </w:rPr>
      </w:pPr>
    </w:p>
    <w:p w14:paraId="609E35D7" w14:textId="77777777" w:rsidR="00D47FB8" w:rsidRPr="00D47FB8" w:rsidRDefault="00D47FB8" w:rsidP="00D47FB8">
      <w:pPr>
        <w:spacing w:line="276" w:lineRule="auto"/>
        <w:ind w:firstLine="708"/>
        <w:jc w:val="both"/>
        <w:rPr>
          <w:rFonts w:ascii="Calibri" w:hAnsi="Calibri" w:cs="Calibri"/>
          <w:color w:val="000000"/>
        </w:rPr>
      </w:pPr>
    </w:p>
    <w:p w14:paraId="2ADDF86D" w14:textId="11FB5E21" w:rsidR="003C30BB" w:rsidRDefault="00D47FB8" w:rsidP="002F3A67">
      <w:pPr>
        <w:spacing w:line="276" w:lineRule="auto"/>
        <w:jc w:val="both"/>
        <w:rPr>
          <w:rFonts w:ascii="Calibri" w:hAnsi="Calibri" w:cs="Calibri"/>
          <w:color w:val="000000"/>
        </w:rPr>
      </w:pPr>
      <w:r>
        <w:rPr>
          <w:rFonts w:ascii="Calibri" w:hAnsi="Calibri" w:cs="Calibri"/>
          <w:color w:val="000000"/>
        </w:rPr>
        <w:lastRenderedPageBreak/>
        <w:t xml:space="preserve">Contribution 2 </w:t>
      </w:r>
    </w:p>
    <w:p w14:paraId="0497802F" w14:textId="431D437F" w:rsidR="00D47FB8" w:rsidRDefault="00D47FB8" w:rsidP="002F3A67">
      <w:pPr>
        <w:spacing w:line="276" w:lineRule="auto"/>
        <w:jc w:val="both"/>
        <w:rPr>
          <w:rFonts w:ascii="Calibri" w:hAnsi="Calibri" w:cs="Calibri"/>
          <w:color w:val="000000"/>
        </w:rPr>
      </w:pPr>
    </w:p>
    <w:p w14:paraId="1DB6AB99" w14:textId="77777777" w:rsidR="00071967" w:rsidRPr="007C0B3D" w:rsidRDefault="00071967" w:rsidP="00071967">
      <w:pPr>
        <w:spacing w:line="242" w:lineRule="auto"/>
        <w:jc w:val="center"/>
        <w:rPr>
          <w:b/>
          <w:sz w:val="22"/>
          <w:szCs w:val="22"/>
        </w:rPr>
      </w:pPr>
      <w:r w:rsidRPr="007C0B3D">
        <w:rPr>
          <w:b/>
          <w:sz w:val="22"/>
          <w:szCs w:val="22"/>
        </w:rPr>
        <w:t xml:space="preserve">Vieillissement au travail et handicap : </w:t>
      </w:r>
    </w:p>
    <w:p w14:paraId="03E1CE99" w14:textId="77777777" w:rsidR="00071967" w:rsidRPr="007C0B3D" w:rsidRDefault="00071967" w:rsidP="00071967">
      <w:pPr>
        <w:spacing w:line="242" w:lineRule="auto"/>
        <w:jc w:val="center"/>
        <w:rPr>
          <w:b/>
          <w:sz w:val="22"/>
          <w:szCs w:val="22"/>
        </w:rPr>
      </w:pPr>
      <w:proofErr w:type="gramStart"/>
      <w:r w:rsidRPr="007C0B3D">
        <w:rPr>
          <w:b/>
          <w:sz w:val="22"/>
          <w:szCs w:val="22"/>
        </w:rPr>
        <w:t>quand</w:t>
      </w:r>
      <w:proofErr w:type="gramEnd"/>
      <w:r w:rsidRPr="007C0B3D">
        <w:rPr>
          <w:b/>
          <w:sz w:val="22"/>
          <w:szCs w:val="22"/>
        </w:rPr>
        <w:t xml:space="preserve"> la structure organisationnelle s’immisce dans les parcours</w:t>
      </w:r>
    </w:p>
    <w:p w14:paraId="08BF7809" w14:textId="77777777" w:rsidR="00071967" w:rsidRPr="007C0B3D" w:rsidRDefault="00071967" w:rsidP="00071967">
      <w:pPr>
        <w:spacing w:line="242" w:lineRule="auto"/>
        <w:rPr>
          <w:sz w:val="22"/>
          <w:szCs w:val="22"/>
        </w:rPr>
      </w:pPr>
    </w:p>
    <w:p w14:paraId="346CAA71" w14:textId="77777777" w:rsidR="00071967" w:rsidRPr="00D47FB8" w:rsidRDefault="00071967" w:rsidP="00071967">
      <w:pPr>
        <w:spacing w:line="242" w:lineRule="auto"/>
        <w:rPr>
          <w:sz w:val="22"/>
          <w:szCs w:val="22"/>
        </w:rPr>
      </w:pPr>
    </w:p>
    <w:p w14:paraId="47D37B3B" w14:textId="77777777" w:rsidR="00071967" w:rsidRPr="00D47FB8" w:rsidRDefault="00071967" w:rsidP="00071967">
      <w:pPr>
        <w:spacing w:line="242" w:lineRule="auto"/>
        <w:rPr>
          <w:sz w:val="22"/>
          <w:szCs w:val="22"/>
        </w:rPr>
      </w:pPr>
    </w:p>
    <w:p w14:paraId="172B5988" w14:textId="77777777" w:rsidR="00071967" w:rsidRPr="007C0B3D" w:rsidRDefault="00071967" w:rsidP="00071967">
      <w:pPr>
        <w:spacing w:line="242" w:lineRule="auto"/>
        <w:rPr>
          <w:sz w:val="22"/>
          <w:szCs w:val="22"/>
        </w:rPr>
      </w:pPr>
      <w:r w:rsidRPr="007C0B3D">
        <w:rPr>
          <w:sz w:val="22"/>
          <w:szCs w:val="22"/>
        </w:rPr>
        <w:t xml:space="preserve">Nathalie </w:t>
      </w:r>
      <w:proofErr w:type="spellStart"/>
      <w:r w:rsidRPr="007C0B3D">
        <w:rPr>
          <w:sz w:val="22"/>
          <w:szCs w:val="22"/>
        </w:rPr>
        <w:t>Burnay</w:t>
      </w:r>
      <w:proofErr w:type="spellEnd"/>
      <w:r w:rsidRPr="007C0B3D">
        <w:rPr>
          <w:sz w:val="22"/>
          <w:szCs w:val="22"/>
        </w:rPr>
        <w:t xml:space="preserve">, Institut </w:t>
      </w:r>
      <w:r w:rsidRPr="007C0B3D">
        <w:rPr>
          <w:i/>
          <w:sz w:val="22"/>
          <w:szCs w:val="22"/>
        </w:rPr>
        <w:t>Transitions</w:t>
      </w:r>
      <w:r w:rsidRPr="007C0B3D">
        <w:rPr>
          <w:sz w:val="22"/>
          <w:szCs w:val="22"/>
        </w:rPr>
        <w:t xml:space="preserve">, </w:t>
      </w:r>
      <w:proofErr w:type="spellStart"/>
      <w:r w:rsidRPr="007C0B3D">
        <w:rPr>
          <w:sz w:val="22"/>
          <w:szCs w:val="22"/>
        </w:rPr>
        <w:t>UNamur</w:t>
      </w:r>
      <w:proofErr w:type="spellEnd"/>
      <w:r w:rsidRPr="007C0B3D">
        <w:rPr>
          <w:sz w:val="22"/>
          <w:szCs w:val="22"/>
        </w:rPr>
        <w:t xml:space="preserve"> – IACCHOS, </w:t>
      </w:r>
      <w:proofErr w:type="spellStart"/>
      <w:r w:rsidRPr="007C0B3D">
        <w:rPr>
          <w:sz w:val="22"/>
          <w:szCs w:val="22"/>
        </w:rPr>
        <w:t>UCLouvain</w:t>
      </w:r>
      <w:proofErr w:type="spellEnd"/>
      <w:r w:rsidRPr="007C0B3D">
        <w:rPr>
          <w:sz w:val="22"/>
          <w:szCs w:val="22"/>
        </w:rPr>
        <w:t xml:space="preserve"> (BE)</w:t>
      </w:r>
    </w:p>
    <w:p w14:paraId="75167ABD" w14:textId="77777777" w:rsidR="00071967" w:rsidRPr="007C0B3D" w:rsidRDefault="00071967" w:rsidP="00071967">
      <w:pPr>
        <w:spacing w:line="242" w:lineRule="auto"/>
        <w:rPr>
          <w:sz w:val="22"/>
          <w:szCs w:val="22"/>
        </w:rPr>
      </w:pPr>
      <w:r w:rsidRPr="007C0B3D">
        <w:rPr>
          <w:sz w:val="22"/>
          <w:szCs w:val="22"/>
        </w:rPr>
        <w:t xml:space="preserve">Amélie Pierre, Institut </w:t>
      </w:r>
      <w:r w:rsidRPr="007C0B3D">
        <w:rPr>
          <w:i/>
          <w:sz w:val="22"/>
          <w:szCs w:val="22"/>
        </w:rPr>
        <w:t>Transitions</w:t>
      </w:r>
      <w:r w:rsidRPr="007C0B3D">
        <w:rPr>
          <w:sz w:val="22"/>
          <w:szCs w:val="22"/>
        </w:rPr>
        <w:t xml:space="preserve">, </w:t>
      </w:r>
      <w:proofErr w:type="spellStart"/>
      <w:r w:rsidRPr="007C0B3D">
        <w:rPr>
          <w:sz w:val="22"/>
          <w:szCs w:val="22"/>
        </w:rPr>
        <w:t>UNamur</w:t>
      </w:r>
      <w:proofErr w:type="spellEnd"/>
      <w:r w:rsidRPr="007C0B3D">
        <w:rPr>
          <w:sz w:val="22"/>
          <w:szCs w:val="22"/>
        </w:rPr>
        <w:t xml:space="preserve"> (BE)</w:t>
      </w:r>
    </w:p>
    <w:p w14:paraId="7A6F97AC" w14:textId="77777777" w:rsidR="00071967" w:rsidRPr="007C0B3D" w:rsidRDefault="00071967" w:rsidP="00071967">
      <w:pPr>
        <w:spacing w:line="242" w:lineRule="auto"/>
        <w:rPr>
          <w:b/>
          <w:sz w:val="22"/>
          <w:szCs w:val="22"/>
        </w:rPr>
      </w:pPr>
    </w:p>
    <w:p w14:paraId="261A9ACC" w14:textId="77777777" w:rsidR="00071967" w:rsidRPr="007C0B3D" w:rsidRDefault="00071967" w:rsidP="00071967">
      <w:pPr>
        <w:spacing w:line="242" w:lineRule="auto"/>
        <w:rPr>
          <w:b/>
          <w:sz w:val="22"/>
          <w:szCs w:val="22"/>
        </w:rPr>
      </w:pPr>
    </w:p>
    <w:p w14:paraId="65B13A95" w14:textId="77777777" w:rsidR="00071967" w:rsidRPr="007C0B3D" w:rsidRDefault="00071967" w:rsidP="00071967">
      <w:pPr>
        <w:spacing w:line="242" w:lineRule="auto"/>
        <w:jc w:val="both"/>
        <w:rPr>
          <w:b/>
          <w:sz w:val="22"/>
          <w:szCs w:val="22"/>
        </w:rPr>
      </w:pPr>
      <w:r w:rsidRPr="007C0B3D">
        <w:rPr>
          <w:b/>
          <w:sz w:val="22"/>
          <w:szCs w:val="22"/>
        </w:rPr>
        <w:t>Résumé</w:t>
      </w:r>
    </w:p>
    <w:p w14:paraId="5B2141FD" w14:textId="77777777" w:rsidR="00071967" w:rsidRPr="007C0B3D" w:rsidRDefault="00071967" w:rsidP="00071967">
      <w:pPr>
        <w:spacing w:line="242" w:lineRule="auto"/>
        <w:jc w:val="both"/>
        <w:rPr>
          <w:sz w:val="22"/>
          <w:szCs w:val="22"/>
        </w:rPr>
      </w:pPr>
    </w:p>
    <w:p w14:paraId="25ED7B47" w14:textId="77777777" w:rsidR="00071967" w:rsidRPr="007C0B3D" w:rsidRDefault="00071967" w:rsidP="00071967">
      <w:pPr>
        <w:spacing w:line="242" w:lineRule="auto"/>
        <w:jc w:val="both"/>
        <w:rPr>
          <w:sz w:val="22"/>
          <w:szCs w:val="22"/>
        </w:rPr>
      </w:pPr>
      <w:r w:rsidRPr="007C0B3D">
        <w:rPr>
          <w:sz w:val="22"/>
          <w:szCs w:val="22"/>
        </w:rPr>
        <w:t xml:space="preserve">En 1995, les entreprises de travail adaptés (ETA) voient le jour en Belgique. Ces lieux doivent permettre une inclusion sur le marché du travail des personnes en situation de handicap. Le vieillissement au travail de cette population particulière est une problématique relativement nouvelle et encore très peu étudiée. Ainsi, si près de 50% des travailleurs sont aujourd’hui âgés de 30 à 50 ans, on constate progressivement un vieillissement de la population en emploi qui s’explique par plusieurs facteurs : une espérance de vie qui s’accroit dans la population en situation de handicap, mais également une transformation de la population insérée en ETA. C’est ainsi qu’en 2002, moins de 15% des travailleurs en ETA étaient âgés de plus de 50 ans, ils étaient plus de 40% en 2019 (statistiques AVIQ non publiées). </w:t>
      </w:r>
    </w:p>
    <w:p w14:paraId="229F09A5" w14:textId="77777777" w:rsidR="00071967" w:rsidRPr="007C0B3D" w:rsidRDefault="00071967" w:rsidP="00071967">
      <w:pPr>
        <w:spacing w:line="242" w:lineRule="auto"/>
        <w:jc w:val="both"/>
        <w:rPr>
          <w:sz w:val="22"/>
          <w:szCs w:val="22"/>
        </w:rPr>
      </w:pPr>
      <w:r w:rsidRPr="007C0B3D">
        <w:rPr>
          <w:sz w:val="22"/>
          <w:szCs w:val="22"/>
        </w:rPr>
        <w:t xml:space="preserve">Depuis peu, cette transformation sociodémographique repose également sur un élargissement de la population cible : des différentes classifications du handicap (OMS, 2001), qui constituait la population de référence il y a quelques années, on y ajoute un public souffrant de handicap social, c’est-à-dire ne pouvant entrer dans les canaux de l’emploi traditionnel. Cet élargissement s’accompagne de facto d’une redéfinition des objectifs généraux des ETA, mais également d’une transformation du public inscrit dans ces structures. Cohabitent dès lors des travailleurs souffrant de handicaps légers, des travailleurs plus lourdement handicapés, mais également des chômeurs de très longue durée, sans véritable qualification, mais socialisés dans des univers productifs classiques. Dans un contexte structurel de réduction des dépenses publiques, le jeu se resserre et les ETA doivent garantir la survie de leur structure par différents moyens qui de facto s’écartent de leur fonction première, intégrative et sociale. </w:t>
      </w:r>
    </w:p>
    <w:p w14:paraId="4A41B0EB" w14:textId="77777777" w:rsidR="00071967" w:rsidRPr="007C0B3D" w:rsidRDefault="00071967" w:rsidP="00071967">
      <w:pPr>
        <w:spacing w:line="242" w:lineRule="auto"/>
        <w:jc w:val="both"/>
        <w:rPr>
          <w:sz w:val="22"/>
          <w:szCs w:val="22"/>
        </w:rPr>
      </w:pPr>
      <w:r w:rsidRPr="007C0B3D">
        <w:rPr>
          <w:sz w:val="22"/>
          <w:szCs w:val="22"/>
        </w:rPr>
        <w:t xml:space="preserve">Le cadre théorique sur lequel repose cette étude se trouve au croisement entre les </w:t>
      </w:r>
      <w:proofErr w:type="spellStart"/>
      <w:r w:rsidRPr="007C0B3D">
        <w:rPr>
          <w:i/>
          <w:sz w:val="22"/>
          <w:szCs w:val="22"/>
        </w:rPr>
        <w:t>disability</w:t>
      </w:r>
      <w:proofErr w:type="spellEnd"/>
      <w:r w:rsidRPr="007C0B3D">
        <w:rPr>
          <w:i/>
          <w:sz w:val="22"/>
          <w:szCs w:val="22"/>
        </w:rPr>
        <w:t xml:space="preserve"> </w:t>
      </w:r>
      <w:proofErr w:type="spellStart"/>
      <w:r w:rsidRPr="007C0B3D">
        <w:rPr>
          <w:i/>
          <w:sz w:val="22"/>
          <w:szCs w:val="22"/>
        </w:rPr>
        <w:t>studies</w:t>
      </w:r>
      <w:proofErr w:type="spellEnd"/>
      <w:r w:rsidRPr="007C0B3D">
        <w:rPr>
          <w:sz w:val="22"/>
          <w:szCs w:val="22"/>
        </w:rPr>
        <w:t xml:space="preserve"> (Albrecht </w:t>
      </w:r>
      <w:r w:rsidRPr="007C0B3D">
        <w:rPr>
          <w:i/>
          <w:sz w:val="22"/>
          <w:szCs w:val="22"/>
        </w:rPr>
        <w:t>et al</w:t>
      </w:r>
      <w:r w:rsidRPr="007C0B3D">
        <w:rPr>
          <w:sz w:val="22"/>
          <w:szCs w:val="22"/>
        </w:rPr>
        <w:t>., 2001) et la gérontologie critique (</w:t>
      </w:r>
      <w:proofErr w:type="spellStart"/>
      <w:r w:rsidRPr="007C0B3D">
        <w:rPr>
          <w:sz w:val="22"/>
          <w:szCs w:val="22"/>
        </w:rPr>
        <w:t>Baars</w:t>
      </w:r>
      <w:proofErr w:type="spellEnd"/>
      <w:r w:rsidRPr="007C0B3D">
        <w:rPr>
          <w:sz w:val="22"/>
          <w:szCs w:val="22"/>
        </w:rPr>
        <w:t xml:space="preserve"> </w:t>
      </w:r>
      <w:r w:rsidRPr="007C0B3D">
        <w:rPr>
          <w:i/>
          <w:sz w:val="22"/>
          <w:szCs w:val="22"/>
        </w:rPr>
        <w:t>et al</w:t>
      </w:r>
      <w:r w:rsidRPr="007C0B3D">
        <w:rPr>
          <w:sz w:val="22"/>
          <w:szCs w:val="22"/>
        </w:rPr>
        <w:t xml:space="preserve">, 2006). A partir d’une enquête qualitative réalisée dans deux ETA en Belgique francophone, les autrices montrent combien le vieillissement au travail ne peut se résumer à une question d’âge, mais doit être considéré de manière complexe en tenant compte de l’ensemble du parcours de vie ainsi que des structures organisationnelles dans lesquelles ils prennent place. Les récentes transformations du secteur risquent bien de renforcer les contraintes de rentabilité et conduire de facto à un risque accru de sortie prématurée de l’emploi de cette population déjà fragilisée. </w:t>
      </w:r>
      <w:r>
        <w:rPr>
          <w:sz w:val="22"/>
          <w:szCs w:val="22"/>
        </w:rPr>
        <w:t xml:space="preserve">C’est alors tout le processus institutionnel qui se voit questionner par le vieillissement de cette population. </w:t>
      </w:r>
    </w:p>
    <w:p w14:paraId="552D0721" w14:textId="77777777" w:rsidR="00071967" w:rsidRPr="007C0B3D" w:rsidRDefault="00071967" w:rsidP="00071967">
      <w:pPr>
        <w:jc w:val="both"/>
        <w:rPr>
          <w:sz w:val="22"/>
          <w:szCs w:val="22"/>
        </w:rPr>
      </w:pPr>
    </w:p>
    <w:p w14:paraId="3B775C13" w14:textId="77777777" w:rsidR="00071967" w:rsidRPr="007C0B3D" w:rsidRDefault="00071967" w:rsidP="00071967">
      <w:pPr>
        <w:jc w:val="both"/>
        <w:rPr>
          <w:b/>
          <w:sz w:val="22"/>
          <w:szCs w:val="22"/>
        </w:rPr>
      </w:pPr>
      <w:r w:rsidRPr="007C0B3D">
        <w:rPr>
          <w:b/>
          <w:sz w:val="22"/>
          <w:szCs w:val="22"/>
        </w:rPr>
        <w:t>Bibliographie</w:t>
      </w:r>
    </w:p>
    <w:p w14:paraId="6D140BA2" w14:textId="77777777" w:rsidR="00071967" w:rsidRPr="007C0B3D" w:rsidRDefault="00071967" w:rsidP="00071967">
      <w:pPr>
        <w:jc w:val="both"/>
        <w:rPr>
          <w:sz w:val="22"/>
          <w:szCs w:val="22"/>
        </w:rPr>
      </w:pPr>
    </w:p>
    <w:p w14:paraId="350F31AD" w14:textId="77777777" w:rsidR="00071967" w:rsidRPr="007C0B3D" w:rsidRDefault="00071967" w:rsidP="00071967">
      <w:pPr>
        <w:jc w:val="both"/>
        <w:rPr>
          <w:sz w:val="22"/>
          <w:szCs w:val="22"/>
        </w:rPr>
      </w:pPr>
      <w:r w:rsidRPr="007C0B3D">
        <w:rPr>
          <w:sz w:val="22"/>
          <w:szCs w:val="22"/>
        </w:rPr>
        <w:t xml:space="preserve">Albrecht G. L., </w:t>
      </w:r>
      <w:proofErr w:type="spellStart"/>
      <w:r w:rsidRPr="007C0B3D">
        <w:rPr>
          <w:sz w:val="22"/>
          <w:szCs w:val="22"/>
        </w:rPr>
        <w:t>Ravaud</w:t>
      </w:r>
      <w:proofErr w:type="spellEnd"/>
      <w:r w:rsidRPr="007C0B3D">
        <w:rPr>
          <w:sz w:val="22"/>
          <w:szCs w:val="22"/>
        </w:rPr>
        <w:t xml:space="preserve"> J. F., </w:t>
      </w:r>
      <w:proofErr w:type="spellStart"/>
      <w:r w:rsidRPr="007C0B3D">
        <w:rPr>
          <w:sz w:val="22"/>
          <w:szCs w:val="22"/>
        </w:rPr>
        <w:t>Stiker</w:t>
      </w:r>
      <w:proofErr w:type="spellEnd"/>
      <w:r w:rsidRPr="007C0B3D">
        <w:rPr>
          <w:sz w:val="22"/>
          <w:szCs w:val="22"/>
        </w:rPr>
        <w:t xml:space="preserve"> H. J., 2001, « L'émergence des </w:t>
      </w:r>
      <w:proofErr w:type="spellStart"/>
      <w:r w:rsidRPr="007C0B3D">
        <w:rPr>
          <w:sz w:val="22"/>
          <w:szCs w:val="22"/>
        </w:rPr>
        <w:t>disability</w:t>
      </w:r>
      <w:proofErr w:type="spellEnd"/>
      <w:r w:rsidRPr="007C0B3D">
        <w:rPr>
          <w:sz w:val="22"/>
          <w:szCs w:val="22"/>
        </w:rPr>
        <w:t xml:space="preserve"> </w:t>
      </w:r>
      <w:proofErr w:type="spellStart"/>
      <w:proofErr w:type="gramStart"/>
      <w:r w:rsidRPr="007C0B3D">
        <w:rPr>
          <w:sz w:val="22"/>
          <w:szCs w:val="22"/>
        </w:rPr>
        <w:t>studies</w:t>
      </w:r>
      <w:proofErr w:type="spellEnd"/>
      <w:r w:rsidRPr="007C0B3D">
        <w:rPr>
          <w:sz w:val="22"/>
          <w:szCs w:val="22"/>
        </w:rPr>
        <w:t>:</w:t>
      </w:r>
      <w:proofErr w:type="gramEnd"/>
      <w:r w:rsidRPr="007C0B3D">
        <w:rPr>
          <w:sz w:val="22"/>
          <w:szCs w:val="22"/>
        </w:rPr>
        <w:t xml:space="preserve"> état des lieux et perspectives », </w:t>
      </w:r>
      <w:r w:rsidRPr="007C0B3D">
        <w:rPr>
          <w:i/>
          <w:sz w:val="22"/>
          <w:szCs w:val="22"/>
        </w:rPr>
        <w:t>Sciences sociales et santé</w:t>
      </w:r>
      <w:r w:rsidRPr="007C0B3D">
        <w:rPr>
          <w:sz w:val="22"/>
          <w:szCs w:val="22"/>
        </w:rPr>
        <w:t>, 19, n°4, p.43-73.</w:t>
      </w:r>
    </w:p>
    <w:p w14:paraId="22F17C03" w14:textId="77777777" w:rsidR="00071967" w:rsidRPr="007B7E90" w:rsidRDefault="00071967" w:rsidP="00071967">
      <w:pPr>
        <w:jc w:val="both"/>
        <w:rPr>
          <w:sz w:val="22"/>
          <w:szCs w:val="22"/>
        </w:rPr>
      </w:pPr>
      <w:proofErr w:type="spellStart"/>
      <w:r w:rsidRPr="007C0B3D">
        <w:rPr>
          <w:sz w:val="22"/>
          <w:szCs w:val="22"/>
          <w:lang w:val="en-US"/>
        </w:rPr>
        <w:t>Baars</w:t>
      </w:r>
      <w:proofErr w:type="spellEnd"/>
      <w:r w:rsidRPr="007C0B3D">
        <w:rPr>
          <w:sz w:val="22"/>
          <w:szCs w:val="22"/>
          <w:lang w:val="en-US"/>
        </w:rPr>
        <w:t xml:space="preserve"> J, </w:t>
      </w:r>
      <w:proofErr w:type="spellStart"/>
      <w:r w:rsidRPr="007C0B3D">
        <w:rPr>
          <w:sz w:val="22"/>
          <w:szCs w:val="22"/>
          <w:lang w:val="en-US"/>
        </w:rPr>
        <w:t>Dannefer</w:t>
      </w:r>
      <w:proofErr w:type="spellEnd"/>
      <w:r w:rsidRPr="007C0B3D">
        <w:rPr>
          <w:sz w:val="22"/>
          <w:szCs w:val="22"/>
          <w:lang w:val="en-US"/>
        </w:rPr>
        <w:t xml:space="preserve"> D., Philipson C., Walker A., 2006, </w:t>
      </w:r>
      <w:r w:rsidRPr="007C0B3D">
        <w:rPr>
          <w:i/>
          <w:sz w:val="22"/>
          <w:szCs w:val="22"/>
          <w:lang w:val="en-GB"/>
        </w:rPr>
        <w:t xml:space="preserve">Aging, </w:t>
      </w:r>
      <w:proofErr w:type="gramStart"/>
      <w:r w:rsidRPr="007C0B3D">
        <w:rPr>
          <w:i/>
          <w:sz w:val="22"/>
          <w:szCs w:val="22"/>
          <w:lang w:val="en-GB"/>
        </w:rPr>
        <w:t>Globalization</w:t>
      </w:r>
      <w:proofErr w:type="gramEnd"/>
      <w:r w:rsidRPr="007C0B3D">
        <w:rPr>
          <w:i/>
          <w:sz w:val="22"/>
          <w:szCs w:val="22"/>
          <w:lang w:val="en-GB"/>
        </w:rPr>
        <w:t xml:space="preserve"> and Inequality. </w:t>
      </w:r>
      <w:r w:rsidRPr="007B7E90">
        <w:rPr>
          <w:i/>
          <w:sz w:val="22"/>
          <w:szCs w:val="22"/>
        </w:rPr>
        <w:t xml:space="preserve">The New Critical </w:t>
      </w:r>
      <w:proofErr w:type="spellStart"/>
      <w:r w:rsidRPr="007B7E90">
        <w:rPr>
          <w:i/>
          <w:sz w:val="22"/>
          <w:szCs w:val="22"/>
        </w:rPr>
        <w:t>Gerontology</w:t>
      </w:r>
      <w:proofErr w:type="spellEnd"/>
      <w:r w:rsidRPr="007B7E90">
        <w:rPr>
          <w:i/>
          <w:sz w:val="22"/>
          <w:szCs w:val="22"/>
        </w:rPr>
        <w:t xml:space="preserve">, </w:t>
      </w:r>
      <w:r w:rsidRPr="007B7E90">
        <w:rPr>
          <w:sz w:val="22"/>
          <w:szCs w:val="22"/>
        </w:rPr>
        <w:t xml:space="preserve">London, </w:t>
      </w:r>
      <w:proofErr w:type="spellStart"/>
      <w:r w:rsidRPr="007B7E90">
        <w:rPr>
          <w:sz w:val="22"/>
          <w:szCs w:val="22"/>
        </w:rPr>
        <w:t>Routledge</w:t>
      </w:r>
      <w:proofErr w:type="spellEnd"/>
      <w:r w:rsidRPr="007B7E90">
        <w:rPr>
          <w:sz w:val="22"/>
          <w:szCs w:val="22"/>
        </w:rPr>
        <w:t xml:space="preserve">. </w:t>
      </w:r>
    </w:p>
    <w:p w14:paraId="32DE8590" w14:textId="77777777" w:rsidR="00071967" w:rsidRDefault="00071967" w:rsidP="00D47FB8">
      <w:pPr>
        <w:spacing w:after="240"/>
        <w:jc w:val="center"/>
        <w:rPr>
          <w:b/>
          <w:bCs/>
        </w:rPr>
      </w:pPr>
    </w:p>
    <w:p w14:paraId="2A95C862" w14:textId="77777777" w:rsidR="00D47FB8" w:rsidRDefault="00D47FB8" w:rsidP="00D47FB8">
      <w:pPr>
        <w:jc w:val="both"/>
      </w:pPr>
    </w:p>
    <w:p w14:paraId="4377D319" w14:textId="08B22D55" w:rsidR="00D47FB8" w:rsidRDefault="00D47FB8" w:rsidP="00E46953">
      <w:pPr>
        <w:rPr>
          <w:rFonts w:ascii="Calibri" w:hAnsi="Calibri" w:cs="Calibri"/>
          <w:color w:val="000000"/>
        </w:rPr>
      </w:pPr>
      <w:r>
        <w:rPr>
          <w:rFonts w:ascii="Calibri" w:hAnsi="Calibri" w:cs="Calibri"/>
          <w:color w:val="000000"/>
        </w:rPr>
        <w:br w:type="page"/>
      </w:r>
      <w:r>
        <w:rPr>
          <w:rFonts w:ascii="Calibri" w:hAnsi="Calibri" w:cs="Calibri"/>
          <w:color w:val="000000"/>
        </w:rPr>
        <w:lastRenderedPageBreak/>
        <w:t>Contribution 3</w:t>
      </w:r>
    </w:p>
    <w:p w14:paraId="78347480" w14:textId="0F6639E8" w:rsidR="00D47FB8" w:rsidRDefault="00D47FB8" w:rsidP="002F3A67">
      <w:pPr>
        <w:spacing w:line="276" w:lineRule="auto"/>
        <w:jc w:val="both"/>
        <w:rPr>
          <w:rFonts w:ascii="Calibri" w:hAnsi="Calibri" w:cs="Calibri"/>
          <w:color w:val="000000"/>
        </w:rPr>
      </w:pPr>
    </w:p>
    <w:p w14:paraId="1B7B7665" w14:textId="77777777" w:rsidR="00D47FB8" w:rsidRPr="003A4AB6" w:rsidRDefault="00D47FB8" w:rsidP="00D47FB8">
      <w:pPr>
        <w:spacing w:line="276" w:lineRule="auto"/>
        <w:jc w:val="center"/>
        <w:rPr>
          <w:rFonts w:ascii="Calibri" w:hAnsi="Calibri" w:cs="Calibri"/>
          <w:b/>
          <w:bCs/>
          <w:color w:val="000000"/>
        </w:rPr>
      </w:pPr>
      <w:r w:rsidRPr="003A4AB6">
        <w:rPr>
          <w:rFonts w:ascii="Calibri" w:hAnsi="Calibri" w:cs="Calibri"/>
          <w:b/>
          <w:bCs/>
          <w:color w:val="000000"/>
        </w:rPr>
        <w:t>Interroger l’accompagnement en institution au prisme du vieillissement</w:t>
      </w:r>
    </w:p>
    <w:p w14:paraId="6A79C5FF" w14:textId="77777777" w:rsidR="00D47FB8" w:rsidRDefault="00D47FB8" w:rsidP="00D47FB8">
      <w:pPr>
        <w:spacing w:line="276" w:lineRule="auto"/>
        <w:jc w:val="both"/>
        <w:rPr>
          <w:rFonts w:ascii="Calibri" w:hAnsi="Calibri" w:cs="Calibri"/>
          <w:color w:val="000000"/>
        </w:rPr>
      </w:pPr>
    </w:p>
    <w:p w14:paraId="5CADC883" w14:textId="77777777" w:rsidR="00D47FB8" w:rsidRDefault="00D47FB8" w:rsidP="00D47FB8">
      <w:pPr>
        <w:spacing w:line="276" w:lineRule="auto"/>
        <w:jc w:val="both"/>
        <w:rPr>
          <w:rFonts w:ascii="Calibri" w:hAnsi="Calibri" w:cs="Calibri"/>
          <w:color w:val="000000"/>
        </w:rPr>
      </w:pPr>
      <w:r>
        <w:rPr>
          <w:rFonts w:ascii="Calibri" w:hAnsi="Calibri" w:cs="Calibri"/>
          <w:color w:val="000000"/>
        </w:rPr>
        <w:t xml:space="preserve">Auteures : Aline </w:t>
      </w:r>
      <w:proofErr w:type="spellStart"/>
      <w:r>
        <w:rPr>
          <w:rFonts w:ascii="Calibri" w:hAnsi="Calibri" w:cs="Calibri"/>
          <w:color w:val="000000"/>
        </w:rPr>
        <w:t>Veyre</w:t>
      </w:r>
      <w:proofErr w:type="spellEnd"/>
      <w:r>
        <w:rPr>
          <w:rFonts w:ascii="Calibri" w:hAnsi="Calibri" w:cs="Calibri"/>
          <w:color w:val="000000"/>
        </w:rPr>
        <w:t xml:space="preserve"> et Valérie Hugentobler, Ophélie </w:t>
      </w:r>
      <w:proofErr w:type="spellStart"/>
      <w:r>
        <w:rPr>
          <w:rFonts w:ascii="Calibri" w:hAnsi="Calibri" w:cs="Calibri"/>
          <w:color w:val="000000"/>
        </w:rPr>
        <w:t>Guerdat</w:t>
      </w:r>
      <w:proofErr w:type="spellEnd"/>
      <w:r>
        <w:rPr>
          <w:rFonts w:ascii="Calibri" w:hAnsi="Calibri" w:cs="Calibri"/>
          <w:color w:val="000000"/>
        </w:rPr>
        <w:t xml:space="preserve"> et Melissa </w:t>
      </w:r>
      <w:proofErr w:type="spellStart"/>
      <w:r>
        <w:rPr>
          <w:rFonts w:ascii="Calibri" w:hAnsi="Calibri" w:cs="Calibri"/>
          <w:color w:val="000000"/>
        </w:rPr>
        <w:t>Ischer</w:t>
      </w:r>
      <w:proofErr w:type="spellEnd"/>
    </w:p>
    <w:p w14:paraId="11F2339E" w14:textId="77777777" w:rsidR="00D47FB8" w:rsidRDefault="00D47FB8" w:rsidP="00D47FB8">
      <w:pPr>
        <w:spacing w:line="276" w:lineRule="auto"/>
        <w:jc w:val="both"/>
        <w:rPr>
          <w:rFonts w:ascii="Calibri" w:hAnsi="Calibri" w:cs="Calibri"/>
          <w:color w:val="000000"/>
        </w:rPr>
      </w:pPr>
    </w:p>
    <w:p w14:paraId="13B2E8B4" w14:textId="77777777" w:rsidR="00D47FB8" w:rsidRDefault="00D47FB8" w:rsidP="00D47FB8">
      <w:pPr>
        <w:spacing w:line="276" w:lineRule="auto"/>
        <w:jc w:val="both"/>
        <w:rPr>
          <w:rFonts w:ascii="Calibri" w:hAnsi="Calibri" w:cs="Calibri"/>
          <w:color w:val="000000"/>
        </w:rPr>
      </w:pPr>
      <w:r>
        <w:rPr>
          <w:rFonts w:ascii="Calibri" w:hAnsi="Calibri" w:cs="Calibri"/>
          <w:color w:val="000000"/>
        </w:rPr>
        <w:t>Affiliation :  Haute École de Travail social et de la Santé de Lausanne (HETSL)</w:t>
      </w:r>
    </w:p>
    <w:p w14:paraId="5195ECA0" w14:textId="77777777" w:rsidR="00D47FB8" w:rsidRDefault="00D47FB8" w:rsidP="00D47FB8">
      <w:pPr>
        <w:spacing w:line="276" w:lineRule="auto"/>
        <w:jc w:val="both"/>
      </w:pPr>
    </w:p>
    <w:p w14:paraId="7FA3888B" w14:textId="7BB7EE14" w:rsidR="00D47FB8" w:rsidRDefault="00D47FB8" w:rsidP="00D47FB8">
      <w:pPr>
        <w:spacing w:line="276" w:lineRule="auto"/>
        <w:jc w:val="both"/>
        <w:rPr>
          <w:highlight w:val="yellow"/>
        </w:rPr>
      </w:pPr>
      <w:r w:rsidRPr="004B45E8">
        <w:t xml:space="preserve">En Suisse, comme dans de nombreux autres pays, </w:t>
      </w:r>
      <w:r>
        <w:t>le parcours de vie des personnes considérées comme handicapées est fortement influencé par les dispositifs institutionnels et les prestations qu’ils proposent. Les récents changements paradigmatiques en cours dans le champ du handicap mettent au centre des réflexions la reconnaissance des droits, la participation sociale et l’inclusion. Symbolisé par la Convention relative aux droits des personnes handicapées (ONU, 2006) contribue à bousculer les politiques sociales. En ce qui concerne, par exemple, le logement, de nombreuses alternatives à la vie institutionnelle se sont développées : logements inclusifs, soutien à la vie à domicile ou encore vie commun</w:t>
      </w:r>
      <w:r w:rsidR="00EE54CE">
        <w:t>au</w:t>
      </w:r>
      <w:r>
        <w:t>taire en petit groupe. L’avancée en âge ainsi que l’app</w:t>
      </w:r>
      <w:r w:rsidR="00EE54CE">
        <w:t>a</w:t>
      </w:r>
      <w:r>
        <w:t xml:space="preserve">rition des premiers signes de vieillissement mettent en tension le développement de ces alternatives. Les besoins de soutien s’intensifient dans certains domaines, comme </w:t>
      </w:r>
      <w:r w:rsidR="00EE54CE">
        <w:t xml:space="preserve">celui de </w:t>
      </w:r>
      <w:r>
        <w:t>la santé</w:t>
      </w:r>
      <w:r w:rsidR="00EE54CE">
        <w:t xml:space="preserve"> par exemple</w:t>
      </w:r>
      <w:r>
        <w:t>. Les modèles d’accompagnement en vig</w:t>
      </w:r>
      <w:r w:rsidR="00EE54CE">
        <w:t>u</w:t>
      </w:r>
      <w:r>
        <w:t>eur dans le champ de la gériatrie viennent se confront</w:t>
      </w:r>
      <w:r w:rsidR="00EE54CE">
        <w:t>er</w:t>
      </w:r>
      <w:r>
        <w:t xml:space="preserve"> à ceux du vieillissement. </w:t>
      </w:r>
      <w:r w:rsidRPr="00131EE1">
        <w:t xml:space="preserve">Certains espaces, considérés comme lieu de vie, se voient </w:t>
      </w:r>
      <w:r w:rsidR="00EE54CE">
        <w:t>contraint ?</w:t>
      </w:r>
      <w:r w:rsidR="00EE54CE" w:rsidRPr="00131EE1">
        <w:t xml:space="preserve"> </w:t>
      </w:r>
      <w:r w:rsidRPr="00131EE1">
        <w:t>de (</w:t>
      </w:r>
      <w:proofErr w:type="spellStart"/>
      <w:r w:rsidRPr="00131EE1">
        <w:t>re</w:t>
      </w:r>
      <w:proofErr w:type="spellEnd"/>
      <w:r w:rsidRPr="00131EE1">
        <w:t xml:space="preserve">)questionner leurs missions, notamment en ce qui concerne l’accompagnement socio-médical. </w:t>
      </w:r>
      <w:r>
        <w:t>L’idéal d’un lieu de vie choisi, dans lequel la participation sociale et l’inc</w:t>
      </w:r>
      <w:r w:rsidR="00EE54CE">
        <w:t>l</w:t>
      </w:r>
      <w:r>
        <w:t>usion sont les valeurs centrale</w:t>
      </w:r>
      <w:r w:rsidR="00EE54CE">
        <w:t>s</w:t>
      </w:r>
      <w:r>
        <w:t xml:space="preserve">, semble s’éloigner pour les personnes vieillissantes. </w:t>
      </w:r>
    </w:p>
    <w:p w14:paraId="3FBA3535" w14:textId="77777777" w:rsidR="00D47FB8" w:rsidRDefault="00D47FB8" w:rsidP="00D47FB8">
      <w:pPr>
        <w:spacing w:line="276" w:lineRule="auto"/>
        <w:jc w:val="both"/>
        <w:rPr>
          <w:highlight w:val="yellow"/>
        </w:rPr>
      </w:pPr>
    </w:p>
    <w:p w14:paraId="6597FDB4" w14:textId="3681D079" w:rsidR="00D47FB8" w:rsidRDefault="00D47FB8" w:rsidP="00D47FB8">
      <w:pPr>
        <w:spacing w:line="276" w:lineRule="auto"/>
        <w:jc w:val="both"/>
        <w:rPr>
          <w:rFonts w:ascii="Calibri" w:eastAsia="Times New Roman" w:hAnsi="Calibri" w:cs="Calibri"/>
          <w:lang w:eastAsia="fr-FR"/>
        </w:rPr>
      </w:pPr>
      <w:r>
        <w:rPr>
          <w:rFonts w:ascii="Calibri" w:hAnsi="Calibri" w:cs="Calibri"/>
        </w:rPr>
        <w:t>Nous proposons, dans cette communication, d’aborder la question de l’accompagnement des personnes en situation de handicap vieillissante</w:t>
      </w:r>
      <w:r w:rsidR="00EE54CE">
        <w:rPr>
          <w:rFonts w:ascii="Calibri" w:hAnsi="Calibri" w:cs="Calibri"/>
        </w:rPr>
        <w:t>s</w:t>
      </w:r>
      <w:r>
        <w:rPr>
          <w:rFonts w:ascii="Calibri" w:hAnsi="Calibri" w:cs="Calibri"/>
        </w:rPr>
        <w:t xml:space="preserve"> </w:t>
      </w:r>
      <w:r w:rsidR="009E076B">
        <w:rPr>
          <w:rFonts w:ascii="Calibri" w:hAnsi="Calibri" w:cs="Calibri"/>
        </w:rPr>
        <w:t xml:space="preserve">vivant </w:t>
      </w:r>
      <w:r>
        <w:rPr>
          <w:rFonts w:ascii="Calibri" w:hAnsi="Calibri" w:cs="Calibri"/>
        </w:rPr>
        <w:t xml:space="preserve">en </w:t>
      </w:r>
      <w:r w:rsidR="009E076B">
        <w:rPr>
          <w:rFonts w:ascii="Calibri" w:hAnsi="Calibri" w:cs="Calibri"/>
        </w:rPr>
        <w:t>institution</w:t>
      </w:r>
      <w:r>
        <w:rPr>
          <w:rFonts w:ascii="Calibri" w:hAnsi="Calibri" w:cs="Calibri"/>
        </w:rPr>
        <w:t xml:space="preserve">. </w:t>
      </w:r>
      <w:r w:rsidRPr="003333A5">
        <w:rPr>
          <w:rFonts w:ascii="Calibri" w:hAnsi="Calibri" w:cs="Calibri"/>
        </w:rPr>
        <w:t xml:space="preserve">Cette réflexion critique sera illustrée par les premiers résultats d’une recherche suisse </w:t>
      </w:r>
      <w:proofErr w:type="gramStart"/>
      <w:r w:rsidRPr="003333A5">
        <w:rPr>
          <w:rFonts w:ascii="Calibri" w:hAnsi="Calibri" w:cs="Calibri"/>
        </w:rPr>
        <w:t>actuellement en cours</w:t>
      </w:r>
      <w:proofErr w:type="gramEnd"/>
      <w:r w:rsidRPr="003333A5">
        <w:rPr>
          <w:rFonts w:ascii="Calibri" w:hAnsi="Calibri" w:cs="Calibri"/>
        </w:rPr>
        <w:t>.</w:t>
      </w:r>
      <w:r>
        <w:rPr>
          <w:rFonts w:ascii="Calibri" w:hAnsi="Calibri" w:cs="Calibri"/>
        </w:rPr>
        <w:t xml:space="preserve"> </w:t>
      </w:r>
      <w:r>
        <w:rPr>
          <w:rFonts w:ascii="Calibri" w:hAnsi="Calibri" w:cs="Calibri"/>
          <w:color w:val="000000"/>
        </w:rPr>
        <w:t xml:space="preserve">Elle a pour objectif d’analyser la manière dont les politiques publiques et les institutions s’emparent de la question du vieillissement et comment celui-ci réinterroge l’organisation et les prestations proposées dans les lieux de vie. </w:t>
      </w:r>
      <w:r>
        <w:rPr>
          <w:rFonts w:ascii="Calibri" w:hAnsi="Calibri" w:cs="Calibri"/>
        </w:rPr>
        <w:t xml:space="preserve">Une analyse documentaire des cadres législatifs et des objectifs des plans stratégiques « handicap » a été réalisée afin d’identifier les </w:t>
      </w:r>
      <w:r w:rsidR="009E076B" w:rsidRPr="00217223">
        <w:rPr>
          <w:rFonts w:ascii="Calibri" w:eastAsia="Times New Roman" w:hAnsi="Calibri" w:cs="Calibri"/>
          <w:lang w:eastAsia="fr-FR"/>
        </w:rPr>
        <w:t>réponses</w:t>
      </w:r>
      <w:r w:rsidRPr="00217223">
        <w:rPr>
          <w:rFonts w:ascii="Calibri" w:eastAsia="Times New Roman" w:hAnsi="Calibri" w:cs="Calibri"/>
          <w:lang w:eastAsia="fr-FR"/>
        </w:rPr>
        <w:t xml:space="preserve"> </w:t>
      </w:r>
      <w:r w:rsidR="009E076B" w:rsidRPr="00217223">
        <w:rPr>
          <w:rFonts w:ascii="Calibri" w:eastAsia="Times New Roman" w:hAnsi="Calibri" w:cs="Calibri"/>
          <w:lang w:eastAsia="fr-FR"/>
        </w:rPr>
        <w:t>données</w:t>
      </w:r>
      <w:r w:rsidRPr="00217223">
        <w:rPr>
          <w:rFonts w:ascii="Calibri" w:eastAsia="Times New Roman" w:hAnsi="Calibri" w:cs="Calibri"/>
          <w:lang w:eastAsia="fr-FR"/>
        </w:rPr>
        <w:t xml:space="preserve"> à la question de l’accompagnement par les politiques sociales</w:t>
      </w:r>
      <w:r>
        <w:rPr>
          <w:rFonts w:ascii="Calibri" w:eastAsia="Times New Roman" w:hAnsi="Calibri" w:cs="Calibri"/>
          <w:lang w:eastAsia="fr-FR"/>
        </w:rPr>
        <w:t xml:space="preserve">. Un questionnaire a, ensuite, été adressé à une centaine d’institutions proposant des prestations à des personnes considérées comme handicapées. Finalement, </w:t>
      </w:r>
      <w:r w:rsidR="009E076B">
        <w:rPr>
          <w:rFonts w:ascii="Calibri" w:eastAsia="Times New Roman" w:hAnsi="Calibri" w:cs="Calibri"/>
          <w:lang w:eastAsia="fr-FR"/>
        </w:rPr>
        <w:t>pour donner suite à</w:t>
      </w:r>
      <w:r>
        <w:rPr>
          <w:rFonts w:ascii="Calibri" w:eastAsia="Times New Roman" w:hAnsi="Calibri" w:cs="Calibri"/>
          <w:lang w:eastAsia="fr-FR"/>
        </w:rPr>
        <w:t xml:space="preserve"> l’analyse des réponses, des entretiens d’approfondissement ont été réalisés. L’ensemble des résultats permet d’i</w:t>
      </w:r>
      <w:r w:rsidRPr="00217223">
        <w:rPr>
          <w:rFonts w:ascii="Calibri" w:eastAsia="Times New Roman" w:hAnsi="Calibri" w:cs="Calibri"/>
          <w:lang w:eastAsia="fr-FR"/>
        </w:rPr>
        <w:t>nterroger les orientations pratiques et la pertinence des choix socio-politiques actuels.</w:t>
      </w:r>
    </w:p>
    <w:p w14:paraId="2D278D72" w14:textId="616A1FEF" w:rsidR="009C76BC" w:rsidRDefault="009C76BC" w:rsidP="00D47FB8">
      <w:pPr>
        <w:spacing w:line="276" w:lineRule="auto"/>
        <w:jc w:val="both"/>
        <w:rPr>
          <w:rFonts w:ascii="Calibri" w:eastAsia="Times New Roman" w:hAnsi="Calibri" w:cs="Calibri"/>
          <w:lang w:eastAsia="fr-FR"/>
        </w:rPr>
      </w:pPr>
    </w:p>
    <w:p w14:paraId="5FC81FDE" w14:textId="7BA4BF6C" w:rsidR="00D47FB8" w:rsidRPr="009C76BC" w:rsidRDefault="009C76BC" w:rsidP="009C76BC">
      <w:pPr>
        <w:rPr>
          <w:rFonts w:ascii="Calibri" w:eastAsia="Times New Roman" w:hAnsi="Calibri" w:cs="Calibri"/>
          <w:lang w:eastAsia="fr-FR"/>
        </w:rPr>
      </w:pPr>
      <w:proofErr w:type="spellStart"/>
      <w:r w:rsidRPr="00E46953">
        <w:rPr>
          <w:rFonts w:ascii="Calibri" w:eastAsia="Times New Roman" w:hAnsi="Calibri" w:cs="Calibri"/>
          <w:lang w:val="en-US" w:eastAsia="fr-FR"/>
        </w:rPr>
        <w:t>Veyre</w:t>
      </w:r>
      <w:proofErr w:type="spellEnd"/>
      <w:r w:rsidRPr="00E46953">
        <w:rPr>
          <w:rFonts w:ascii="Calibri" w:eastAsia="Times New Roman" w:hAnsi="Calibri" w:cs="Calibri"/>
          <w:lang w:val="en-US" w:eastAsia="fr-FR"/>
        </w:rPr>
        <w:t xml:space="preserve">, A., </w:t>
      </w:r>
      <w:proofErr w:type="spellStart"/>
      <w:r w:rsidRPr="00E46953">
        <w:rPr>
          <w:rFonts w:ascii="Calibri" w:eastAsia="Times New Roman" w:hAnsi="Calibri" w:cs="Calibri"/>
          <w:lang w:val="en-US" w:eastAsia="fr-FR"/>
        </w:rPr>
        <w:t>Ischer</w:t>
      </w:r>
      <w:proofErr w:type="spellEnd"/>
      <w:r w:rsidRPr="00E46953">
        <w:rPr>
          <w:rFonts w:ascii="Calibri" w:eastAsia="Times New Roman" w:hAnsi="Calibri" w:cs="Calibri"/>
          <w:lang w:val="en-US" w:eastAsia="fr-FR"/>
        </w:rPr>
        <w:t xml:space="preserve">, M., Hugentobler, V. &amp; </w:t>
      </w:r>
      <w:proofErr w:type="spellStart"/>
      <w:r w:rsidRPr="00E46953">
        <w:rPr>
          <w:rFonts w:ascii="Calibri" w:eastAsia="Times New Roman" w:hAnsi="Calibri" w:cs="Calibri"/>
          <w:lang w:val="en-US" w:eastAsia="fr-FR"/>
        </w:rPr>
        <w:t>Guerdat</w:t>
      </w:r>
      <w:proofErr w:type="spellEnd"/>
      <w:r w:rsidRPr="00E46953">
        <w:rPr>
          <w:rFonts w:ascii="Calibri" w:eastAsia="Times New Roman" w:hAnsi="Calibri" w:cs="Calibri"/>
          <w:lang w:val="en-US" w:eastAsia="fr-FR"/>
        </w:rPr>
        <w:t xml:space="preserve">, O. (2021). </w:t>
      </w:r>
      <w:r w:rsidRPr="009C76BC">
        <w:rPr>
          <w:rFonts w:ascii="Calibri" w:eastAsia="Times New Roman" w:hAnsi="Calibri" w:cs="Calibri"/>
          <w:lang w:eastAsia="fr-FR"/>
        </w:rPr>
        <w:t>Invalide et vieillissant : deux statuts dévalorisants et dévalorisés. </w:t>
      </w:r>
      <w:proofErr w:type="spellStart"/>
      <w:r w:rsidRPr="009C76BC">
        <w:rPr>
          <w:rFonts w:ascii="Calibri" w:eastAsia="Times New Roman" w:hAnsi="Calibri" w:cs="Calibri"/>
          <w:lang w:eastAsia="fr-FR"/>
        </w:rPr>
        <w:t>Welfare</w:t>
      </w:r>
      <w:proofErr w:type="spellEnd"/>
      <w:r w:rsidRPr="009C76BC">
        <w:rPr>
          <w:rFonts w:ascii="Calibri" w:eastAsia="Times New Roman" w:hAnsi="Calibri" w:cs="Calibri"/>
          <w:lang w:eastAsia="fr-FR"/>
        </w:rPr>
        <w:t xml:space="preserve"> e </w:t>
      </w:r>
      <w:proofErr w:type="spellStart"/>
      <w:r w:rsidRPr="009C76BC">
        <w:rPr>
          <w:rFonts w:ascii="Calibri" w:eastAsia="Times New Roman" w:hAnsi="Calibri" w:cs="Calibri"/>
          <w:lang w:eastAsia="fr-FR"/>
        </w:rPr>
        <w:t>Ergonomia</w:t>
      </w:r>
      <w:proofErr w:type="spellEnd"/>
      <w:r w:rsidRPr="009C76BC">
        <w:rPr>
          <w:rFonts w:ascii="Calibri" w:eastAsia="Times New Roman" w:hAnsi="Calibri" w:cs="Calibri"/>
          <w:lang w:eastAsia="fr-FR"/>
        </w:rPr>
        <w:t>, 1, 51-62. </w:t>
      </w:r>
      <w:hyperlink r:id="rId4" w:tgtFrame="_blank" w:history="1">
        <w:r w:rsidRPr="009C76BC">
          <w:rPr>
            <w:rFonts w:ascii="Calibri" w:eastAsia="Times New Roman" w:hAnsi="Calibri" w:cs="Calibri"/>
            <w:lang w:eastAsia="fr-FR"/>
          </w:rPr>
          <w:t>doi.org/10.3280/WE2021-001006</w:t>
        </w:r>
      </w:hyperlink>
    </w:p>
    <w:p w14:paraId="0CCF7B31" w14:textId="00A32A7E" w:rsidR="00617363" w:rsidRPr="00AF405F" w:rsidRDefault="00617363" w:rsidP="00D47FB8">
      <w:pPr>
        <w:spacing w:line="276" w:lineRule="auto"/>
        <w:jc w:val="both"/>
        <w:rPr>
          <w:rFonts w:ascii="Calibri" w:hAnsi="Calibri" w:cs="Calibri"/>
          <w:color w:val="000000"/>
        </w:rPr>
      </w:pPr>
    </w:p>
    <w:sectPr w:rsidR="00617363" w:rsidRPr="00AF405F" w:rsidSect="00A5394E">
      <w:pgSz w:w="11900" w:h="16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C7"/>
    <w:rsid w:val="0002543C"/>
    <w:rsid w:val="00030AA5"/>
    <w:rsid w:val="00037581"/>
    <w:rsid w:val="00066165"/>
    <w:rsid w:val="00071967"/>
    <w:rsid w:val="00074A36"/>
    <w:rsid w:val="000A136B"/>
    <w:rsid w:val="000A5818"/>
    <w:rsid w:val="000A7BC7"/>
    <w:rsid w:val="000B1B60"/>
    <w:rsid w:val="000C37D7"/>
    <w:rsid w:val="000C516E"/>
    <w:rsid w:val="000D2E21"/>
    <w:rsid w:val="000D313F"/>
    <w:rsid w:val="0011546C"/>
    <w:rsid w:val="00144B6B"/>
    <w:rsid w:val="001519A3"/>
    <w:rsid w:val="00162D75"/>
    <w:rsid w:val="001739B0"/>
    <w:rsid w:val="001758AD"/>
    <w:rsid w:val="001819A5"/>
    <w:rsid w:val="001871CD"/>
    <w:rsid w:val="00192EA3"/>
    <w:rsid w:val="00197B8E"/>
    <w:rsid w:val="001C1D01"/>
    <w:rsid w:val="001D4AD1"/>
    <w:rsid w:val="002139C6"/>
    <w:rsid w:val="002314B2"/>
    <w:rsid w:val="00233FA7"/>
    <w:rsid w:val="00266175"/>
    <w:rsid w:val="0027141E"/>
    <w:rsid w:val="002A763B"/>
    <w:rsid w:val="002B78A7"/>
    <w:rsid w:val="002F3A67"/>
    <w:rsid w:val="0031327F"/>
    <w:rsid w:val="003575D3"/>
    <w:rsid w:val="00360B34"/>
    <w:rsid w:val="003727B3"/>
    <w:rsid w:val="00377140"/>
    <w:rsid w:val="003A6B71"/>
    <w:rsid w:val="003C30BB"/>
    <w:rsid w:val="003D229C"/>
    <w:rsid w:val="00402D24"/>
    <w:rsid w:val="00403641"/>
    <w:rsid w:val="00404A6F"/>
    <w:rsid w:val="00411A6D"/>
    <w:rsid w:val="004308ED"/>
    <w:rsid w:val="00431E9D"/>
    <w:rsid w:val="004439D1"/>
    <w:rsid w:val="00445005"/>
    <w:rsid w:val="004561E8"/>
    <w:rsid w:val="004D2396"/>
    <w:rsid w:val="004F27EF"/>
    <w:rsid w:val="005143A8"/>
    <w:rsid w:val="00530FE4"/>
    <w:rsid w:val="005507A6"/>
    <w:rsid w:val="00565ACC"/>
    <w:rsid w:val="00567B99"/>
    <w:rsid w:val="00580688"/>
    <w:rsid w:val="005974F4"/>
    <w:rsid w:val="005A274B"/>
    <w:rsid w:val="005A3310"/>
    <w:rsid w:val="005A35DA"/>
    <w:rsid w:val="005B0539"/>
    <w:rsid w:val="005D6482"/>
    <w:rsid w:val="005F1384"/>
    <w:rsid w:val="006165D7"/>
    <w:rsid w:val="00616AB8"/>
    <w:rsid w:val="00617363"/>
    <w:rsid w:val="00634FE5"/>
    <w:rsid w:val="00647F2D"/>
    <w:rsid w:val="00661058"/>
    <w:rsid w:val="00676E43"/>
    <w:rsid w:val="006A60B3"/>
    <w:rsid w:val="006C41FC"/>
    <w:rsid w:val="006F18A2"/>
    <w:rsid w:val="006F2743"/>
    <w:rsid w:val="0074093C"/>
    <w:rsid w:val="00777FD6"/>
    <w:rsid w:val="007B5012"/>
    <w:rsid w:val="007B7E90"/>
    <w:rsid w:val="007C5C76"/>
    <w:rsid w:val="007D6C67"/>
    <w:rsid w:val="007E308E"/>
    <w:rsid w:val="007F5215"/>
    <w:rsid w:val="00831950"/>
    <w:rsid w:val="00866DA6"/>
    <w:rsid w:val="00886B19"/>
    <w:rsid w:val="00886BDD"/>
    <w:rsid w:val="008E44DF"/>
    <w:rsid w:val="008F0393"/>
    <w:rsid w:val="008F2283"/>
    <w:rsid w:val="008F5E00"/>
    <w:rsid w:val="00943FA6"/>
    <w:rsid w:val="00961032"/>
    <w:rsid w:val="0098508D"/>
    <w:rsid w:val="00987D13"/>
    <w:rsid w:val="009A4EB0"/>
    <w:rsid w:val="009C5368"/>
    <w:rsid w:val="009C76BC"/>
    <w:rsid w:val="009D6C6E"/>
    <w:rsid w:val="009E076B"/>
    <w:rsid w:val="009F76FE"/>
    <w:rsid w:val="00A37994"/>
    <w:rsid w:val="00A432BE"/>
    <w:rsid w:val="00A5394E"/>
    <w:rsid w:val="00A62F3E"/>
    <w:rsid w:val="00A6793A"/>
    <w:rsid w:val="00A71134"/>
    <w:rsid w:val="00A90227"/>
    <w:rsid w:val="00AA391A"/>
    <w:rsid w:val="00AB5555"/>
    <w:rsid w:val="00AC41CD"/>
    <w:rsid w:val="00AC7B0A"/>
    <w:rsid w:val="00AD5C9A"/>
    <w:rsid w:val="00AE320A"/>
    <w:rsid w:val="00AE6088"/>
    <w:rsid w:val="00AF405F"/>
    <w:rsid w:val="00B43BFA"/>
    <w:rsid w:val="00B52409"/>
    <w:rsid w:val="00B60638"/>
    <w:rsid w:val="00B64070"/>
    <w:rsid w:val="00B745DF"/>
    <w:rsid w:val="00B761F0"/>
    <w:rsid w:val="00B84F77"/>
    <w:rsid w:val="00B904C0"/>
    <w:rsid w:val="00BA06D5"/>
    <w:rsid w:val="00BD075C"/>
    <w:rsid w:val="00BD64ED"/>
    <w:rsid w:val="00BD759A"/>
    <w:rsid w:val="00C02648"/>
    <w:rsid w:val="00C0270A"/>
    <w:rsid w:val="00C05383"/>
    <w:rsid w:val="00C108E3"/>
    <w:rsid w:val="00C14014"/>
    <w:rsid w:val="00C24885"/>
    <w:rsid w:val="00C335BD"/>
    <w:rsid w:val="00C36ED7"/>
    <w:rsid w:val="00C5062F"/>
    <w:rsid w:val="00C612D3"/>
    <w:rsid w:val="00C65477"/>
    <w:rsid w:val="00C71A80"/>
    <w:rsid w:val="00C81D2B"/>
    <w:rsid w:val="00C9318F"/>
    <w:rsid w:val="00CA1443"/>
    <w:rsid w:val="00CD64D1"/>
    <w:rsid w:val="00CE4DCE"/>
    <w:rsid w:val="00CF51D5"/>
    <w:rsid w:val="00CF6A64"/>
    <w:rsid w:val="00D00799"/>
    <w:rsid w:val="00D17A42"/>
    <w:rsid w:val="00D47FB8"/>
    <w:rsid w:val="00D51E85"/>
    <w:rsid w:val="00D65564"/>
    <w:rsid w:val="00D763C8"/>
    <w:rsid w:val="00D8759A"/>
    <w:rsid w:val="00D90299"/>
    <w:rsid w:val="00D92DEF"/>
    <w:rsid w:val="00D95DE1"/>
    <w:rsid w:val="00DB2F18"/>
    <w:rsid w:val="00DB3E15"/>
    <w:rsid w:val="00DC5CD3"/>
    <w:rsid w:val="00DD1001"/>
    <w:rsid w:val="00DE5E93"/>
    <w:rsid w:val="00DF6043"/>
    <w:rsid w:val="00E44E67"/>
    <w:rsid w:val="00E46953"/>
    <w:rsid w:val="00E55F75"/>
    <w:rsid w:val="00E60992"/>
    <w:rsid w:val="00E62C24"/>
    <w:rsid w:val="00E75961"/>
    <w:rsid w:val="00E8127A"/>
    <w:rsid w:val="00E83AF7"/>
    <w:rsid w:val="00E87AE8"/>
    <w:rsid w:val="00E90CC5"/>
    <w:rsid w:val="00E9140B"/>
    <w:rsid w:val="00E924EB"/>
    <w:rsid w:val="00ED6AC9"/>
    <w:rsid w:val="00EE450F"/>
    <w:rsid w:val="00EE54CE"/>
    <w:rsid w:val="00F21421"/>
    <w:rsid w:val="00F56ED1"/>
    <w:rsid w:val="00F7768B"/>
    <w:rsid w:val="00F82E46"/>
    <w:rsid w:val="00F90E28"/>
    <w:rsid w:val="00FC2D8C"/>
    <w:rsid w:val="00FE356E"/>
    <w:rsid w:val="00FE36C3"/>
    <w:rsid w:val="00FF240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6375"/>
  <w15:chartTrackingRefBased/>
  <w15:docId w15:val="{4479BC5B-C0DE-0542-9534-737EC109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BC7"/>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0A7BC7"/>
    <w:rPr>
      <w:sz w:val="16"/>
      <w:szCs w:val="16"/>
    </w:rPr>
  </w:style>
  <w:style w:type="paragraph" w:styleId="Commentaire">
    <w:name w:val="annotation text"/>
    <w:basedOn w:val="Normal"/>
    <w:link w:val="CommentaireCar"/>
    <w:uiPriority w:val="99"/>
    <w:semiHidden/>
    <w:unhideWhenUsed/>
    <w:rsid w:val="000A7BC7"/>
    <w:rPr>
      <w:sz w:val="20"/>
      <w:szCs w:val="20"/>
    </w:rPr>
  </w:style>
  <w:style w:type="character" w:customStyle="1" w:styleId="CommentaireCar">
    <w:name w:val="Commentaire Car"/>
    <w:basedOn w:val="Policepardfaut"/>
    <w:link w:val="Commentaire"/>
    <w:uiPriority w:val="99"/>
    <w:semiHidden/>
    <w:rsid w:val="000A7BC7"/>
    <w:rPr>
      <w:sz w:val="20"/>
      <w:szCs w:val="20"/>
    </w:rPr>
  </w:style>
  <w:style w:type="paragraph" w:styleId="Rvision">
    <w:name w:val="Revision"/>
    <w:hidden/>
    <w:uiPriority w:val="99"/>
    <w:semiHidden/>
    <w:rsid w:val="00AD5C9A"/>
    <w:rPr>
      <w:rFonts w:eastAsiaTheme="minorEastAsia"/>
    </w:rPr>
  </w:style>
  <w:style w:type="paragraph" w:styleId="Objetducommentaire">
    <w:name w:val="annotation subject"/>
    <w:basedOn w:val="Commentaire"/>
    <w:next w:val="Commentaire"/>
    <w:link w:val="ObjetducommentaireCar"/>
    <w:uiPriority w:val="99"/>
    <w:semiHidden/>
    <w:unhideWhenUsed/>
    <w:rsid w:val="00AD5C9A"/>
    <w:rPr>
      <w:b/>
      <w:bCs/>
    </w:rPr>
  </w:style>
  <w:style w:type="character" w:customStyle="1" w:styleId="ObjetducommentaireCar">
    <w:name w:val="Objet du commentaire Car"/>
    <w:basedOn w:val="CommentaireCar"/>
    <w:link w:val="Objetducommentaire"/>
    <w:uiPriority w:val="99"/>
    <w:semiHidden/>
    <w:rsid w:val="00AD5C9A"/>
    <w:rPr>
      <w:rFonts w:eastAsiaTheme="minorEastAsia"/>
      <w:b/>
      <w:bCs/>
      <w:sz w:val="20"/>
      <w:szCs w:val="20"/>
    </w:rPr>
  </w:style>
  <w:style w:type="character" w:customStyle="1" w:styleId="apple-converted-space">
    <w:name w:val="apple-converted-space"/>
    <w:basedOn w:val="Policepardfaut"/>
    <w:rsid w:val="00D47FB8"/>
  </w:style>
  <w:style w:type="character" w:styleId="Accentuation">
    <w:name w:val="Emphasis"/>
    <w:basedOn w:val="Policepardfaut"/>
    <w:uiPriority w:val="20"/>
    <w:qFormat/>
    <w:rsid w:val="009C76BC"/>
    <w:rPr>
      <w:i/>
      <w:iCs/>
    </w:rPr>
  </w:style>
  <w:style w:type="character" w:styleId="Lienhypertexte">
    <w:name w:val="Hyperlink"/>
    <w:basedOn w:val="Policepardfaut"/>
    <w:uiPriority w:val="99"/>
    <w:semiHidden/>
    <w:unhideWhenUsed/>
    <w:rsid w:val="009C7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01411">
      <w:bodyDiv w:val="1"/>
      <w:marLeft w:val="0"/>
      <w:marRight w:val="0"/>
      <w:marTop w:val="0"/>
      <w:marBottom w:val="0"/>
      <w:divBdr>
        <w:top w:val="none" w:sz="0" w:space="0" w:color="auto"/>
        <w:left w:val="none" w:sz="0" w:space="0" w:color="auto"/>
        <w:bottom w:val="none" w:sz="0" w:space="0" w:color="auto"/>
        <w:right w:val="none" w:sz="0" w:space="0" w:color="auto"/>
      </w:divBdr>
    </w:div>
    <w:div w:id="105824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280/WE2021-00100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1891</Words>
  <Characters>10855</Characters>
  <Application>Microsoft Office Word</Application>
  <DocSecurity>0</DocSecurity>
  <Lines>190</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dc:description/>
  <cp:lastModifiedBy>Hugentobler Valérie</cp:lastModifiedBy>
  <cp:revision>3</cp:revision>
  <dcterms:created xsi:type="dcterms:W3CDTF">2021-12-06T16:38:00Z</dcterms:created>
  <dcterms:modified xsi:type="dcterms:W3CDTF">2021-12-06T16:38:00Z</dcterms:modified>
</cp:coreProperties>
</file>