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1CEE6D3" w14:textId="1979E6E0" w:rsidR="006E33B6" w:rsidRDefault="006E33B6" w:rsidP="00416471">
      <w:pPr>
        <w:spacing w:line="276" w:lineRule="auto"/>
        <w:jc w:val="both"/>
        <w:rPr>
          <w:rFonts w:ascii="Arial" w:hAnsi="Arial" w:cs="Arial"/>
          <w:sz w:val="20"/>
          <w:szCs w:val="20"/>
        </w:rPr>
      </w:pPr>
    </w:p>
    <w:p w14:paraId="22FD57D1" w14:textId="544447C1" w:rsidR="003953C2" w:rsidRPr="003953C2" w:rsidRDefault="003953C2" w:rsidP="003953C2">
      <w:pPr>
        <w:shd w:val="clear" w:color="auto" w:fill="FFFFFF"/>
        <w:spacing w:before="280" w:after="280"/>
        <w:jc w:val="both"/>
        <w:rPr>
          <w:rFonts w:ascii="Arial" w:eastAsia="Arial" w:hAnsi="Arial" w:cs="Arial"/>
          <w:b/>
          <w:color w:val="2876BA"/>
          <w:sz w:val="20"/>
          <w:szCs w:val="20"/>
        </w:rPr>
      </w:pPr>
      <w:r>
        <w:rPr>
          <w:rFonts w:ascii="Arial" w:hAnsi="Arial" w:cs="Arial"/>
          <w:b/>
          <w:bCs/>
          <w:sz w:val="20"/>
          <w:szCs w:val="20"/>
        </w:rPr>
        <w:t xml:space="preserve">Titre de la session : </w:t>
      </w:r>
      <w:r w:rsidRPr="004F2F43">
        <w:rPr>
          <w:rFonts w:ascii="Arial" w:eastAsia="Arial" w:hAnsi="Arial" w:cs="Arial"/>
          <w:b/>
          <w:color w:val="2876BA"/>
          <w:sz w:val="20"/>
          <w:szCs w:val="20"/>
        </w:rPr>
        <w:t xml:space="preserve">L'État de la désinstitutionalisation. Politiques et instruments de la </w:t>
      </w:r>
      <w:proofErr w:type="spellStart"/>
      <w:r w:rsidRPr="004F2F43">
        <w:rPr>
          <w:rFonts w:ascii="Arial" w:eastAsia="Arial" w:hAnsi="Arial" w:cs="Arial"/>
          <w:b/>
          <w:color w:val="2876BA"/>
          <w:sz w:val="20"/>
          <w:szCs w:val="20"/>
        </w:rPr>
        <w:t>déshospitalisation</w:t>
      </w:r>
      <w:proofErr w:type="spellEnd"/>
      <w:r w:rsidRPr="004F2F43">
        <w:rPr>
          <w:rFonts w:ascii="Arial" w:eastAsia="Arial" w:hAnsi="Arial" w:cs="Arial"/>
          <w:b/>
          <w:color w:val="2876BA"/>
          <w:sz w:val="20"/>
          <w:szCs w:val="20"/>
        </w:rPr>
        <w:t xml:space="preserve"> en santé mentale</w:t>
      </w:r>
      <w:r>
        <w:rPr>
          <w:rFonts w:ascii="Arial" w:eastAsia="Arial" w:hAnsi="Arial" w:cs="Arial"/>
          <w:b/>
          <w:color w:val="2876BA"/>
          <w:sz w:val="20"/>
          <w:szCs w:val="20"/>
        </w:rPr>
        <w:t xml:space="preserve"> (Tonya Tartour et Pierre </w:t>
      </w:r>
      <w:proofErr w:type="spellStart"/>
      <w:r>
        <w:rPr>
          <w:rFonts w:ascii="Arial" w:eastAsia="Arial" w:hAnsi="Arial" w:cs="Arial"/>
          <w:b/>
          <w:color w:val="2876BA"/>
          <w:sz w:val="20"/>
          <w:szCs w:val="20"/>
        </w:rPr>
        <w:t>Robicquet</w:t>
      </w:r>
      <w:proofErr w:type="spellEnd"/>
      <w:r>
        <w:rPr>
          <w:rFonts w:ascii="Arial" w:eastAsia="Arial" w:hAnsi="Arial" w:cs="Arial"/>
          <w:b/>
          <w:color w:val="2876BA"/>
          <w:sz w:val="20"/>
          <w:szCs w:val="20"/>
        </w:rPr>
        <w:t>)</w:t>
      </w:r>
    </w:p>
    <w:p w14:paraId="76B0C719" w14:textId="77777777" w:rsidR="003953C2" w:rsidRDefault="003953C2" w:rsidP="00416471">
      <w:pPr>
        <w:spacing w:line="276" w:lineRule="auto"/>
        <w:jc w:val="both"/>
        <w:rPr>
          <w:rFonts w:ascii="Arial" w:hAnsi="Arial" w:cs="Arial"/>
          <w:b/>
          <w:bCs/>
          <w:sz w:val="20"/>
          <w:szCs w:val="20"/>
        </w:rPr>
      </w:pPr>
    </w:p>
    <w:p w14:paraId="749AD805" w14:textId="6638901B" w:rsidR="006E33B6" w:rsidRDefault="003953C2" w:rsidP="00416471">
      <w:pPr>
        <w:spacing w:line="276" w:lineRule="auto"/>
        <w:jc w:val="both"/>
        <w:rPr>
          <w:rFonts w:ascii="Arial" w:hAnsi="Arial" w:cs="Arial"/>
          <w:b/>
          <w:bCs/>
          <w:sz w:val="20"/>
          <w:szCs w:val="20"/>
        </w:rPr>
      </w:pPr>
      <w:r>
        <w:rPr>
          <w:rFonts w:ascii="Arial" w:hAnsi="Arial" w:cs="Arial"/>
          <w:b/>
          <w:bCs/>
          <w:sz w:val="20"/>
          <w:szCs w:val="20"/>
        </w:rPr>
        <w:t xml:space="preserve">TITRE de la communication : </w:t>
      </w:r>
      <w:r w:rsidR="006E33B6" w:rsidRPr="00701AAA">
        <w:rPr>
          <w:rFonts w:ascii="Arial" w:hAnsi="Arial" w:cs="Arial"/>
          <w:b/>
          <w:bCs/>
          <w:sz w:val="20"/>
          <w:szCs w:val="20"/>
        </w:rPr>
        <w:t xml:space="preserve">Se serrer la ceinture </w:t>
      </w:r>
      <w:r w:rsidR="002A2B9B">
        <w:rPr>
          <w:rFonts w:ascii="Arial" w:hAnsi="Arial" w:cs="Arial"/>
          <w:b/>
          <w:bCs/>
          <w:sz w:val="20"/>
          <w:szCs w:val="20"/>
        </w:rPr>
        <w:t>et élargir son périmètre d’intervention. Comment le financement de l’hôpital psychiatrique façonne les parcours de soins ?</w:t>
      </w:r>
    </w:p>
    <w:p w14:paraId="13245E11" w14:textId="77777777" w:rsidR="003953C2" w:rsidRDefault="003953C2" w:rsidP="003953C2">
      <w:pPr>
        <w:spacing w:line="276" w:lineRule="auto"/>
        <w:jc w:val="both"/>
        <w:rPr>
          <w:rFonts w:ascii="Arial" w:eastAsia="Arial" w:hAnsi="Arial" w:cs="Arial"/>
          <w:b/>
          <w:sz w:val="20"/>
          <w:szCs w:val="20"/>
        </w:rPr>
      </w:pPr>
    </w:p>
    <w:p w14:paraId="1255A64F" w14:textId="3F15DB66" w:rsidR="003953C2" w:rsidRPr="00416471" w:rsidRDefault="0099248D" w:rsidP="003953C2">
      <w:pPr>
        <w:spacing w:line="276" w:lineRule="auto"/>
        <w:jc w:val="both"/>
        <w:rPr>
          <w:rFonts w:ascii="Arial" w:eastAsia="Arial" w:hAnsi="Arial" w:cs="Arial"/>
          <w:sz w:val="20"/>
          <w:szCs w:val="20"/>
        </w:rPr>
      </w:pPr>
      <w:r>
        <w:rPr>
          <w:rFonts w:ascii="Arial" w:eastAsia="Arial" w:hAnsi="Arial" w:cs="Arial"/>
          <w:b/>
          <w:sz w:val="20"/>
          <w:szCs w:val="20"/>
        </w:rPr>
        <w:t xml:space="preserve">Auteure : </w:t>
      </w:r>
      <w:r w:rsidR="003953C2" w:rsidRPr="00416471">
        <w:rPr>
          <w:rFonts w:ascii="Arial" w:eastAsia="Arial" w:hAnsi="Arial" w:cs="Arial"/>
          <w:b/>
          <w:sz w:val="20"/>
          <w:szCs w:val="20"/>
        </w:rPr>
        <w:t>Tonya Tartour (</w:t>
      </w:r>
      <w:proofErr w:type="spellStart"/>
      <w:r w:rsidR="003953C2" w:rsidRPr="00416471">
        <w:rPr>
          <w:rFonts w:ascii="Arial" w:eastAsia="Arial" w:hAnsi="Arial" w:cs="Arial"/>
          <w:b/>
          <w:sz w:val="20"/>
          <w:szCs w:val="20"/>
        </w:rPr>
        <w:t>Cermes</w:t>
      </w:r>
      <w:proofErr w:type="spellEnd"/>
      <w:r w:rsidR="003953C2" w:rsidRPr="00416471">
        <w:rPr>
          <w:rFonts w:ascii="Arial" w:eastAsia="Arial" w:hAnsi="Arial" w:cs="Arial"/>
          <w:b/>
          <w:sz w:val="20"/>
          <w:szCs w:val="20"/>
        </w:rPr>
        <w:t xml:space="preserve"> / </w:t>
      </w:r>
      <w:proofErr w:type="spellStart"/>
      <w:r w:rsidR="003953C2" w:rsidRPr="00416471">
        <w:rPr>
          <w:rFonts w:ascii="Arial" w:eastAsia="Arial" w:hAnsi="Arial" w:cs="Arial"/>
          <w:b/>
          <w:sz w:val="20"/>
          <w:szCs w:val="20"/>
        </w:rPr>
        <w:t>Ifris</w:t>
      </w:r>
      <w:proofErr w:type="spellEnd"/>
      <w:r w:rsidR="003953C2" w:rsidRPr="00416471">
        <w:rPr>
          <w:rFonts w:ascii="Arial" w:eastAsia="Arial" w:hAnsi="Arial" w:cs="Arial"/>
          <w:b/>
          <w:sz w:val="20"/>
          <w:szCs w:val="20"/>
        </w:rPr>
        <w:t>)</w:t>
      </w:r>
    </w:p>
    <w:p w14:paraId="1781B017" w14:textId="77777777" w:rsidR="002A2B9B" w:rsidRDefault="002A2B9B" w:rsidP="003F1A67">
      <w:pPr>
        <w:spacing w:line="276" w:lineRule="auto"/>
        <w:ind w:firstLine="708"/>
        <w:jc w:val="both"/>
        <w:rPr>
          <w:rFonts w:ascii="Arial" w:hAnsi="Arial" w:cs="Arial"/>
          <w:sz w:val="20"/>
          <w:szCs w:val="20"/>
        </w:rPr>
      </w:pPr>
    </w:p>
    <w:p w14:paraId="75BA5C54" w14:textId="27D7A92B" w:rsidR="00C12CE8" w:rsidRPr="00416471" w:rsidRDefault="00C12CE8" w:rsidP="003F1A67">
      <w:pPr>
        <w:spacing w:line="276" w:lineRule="auto"/>
        <w:ind w:firstLine="708"/>
        <w:jc w:val="both"/>
        <w:rPr>
          <w:rFonts w:ascii="Arial" w:hAnsi="Arial" w:cs="Arial"/>
          <w:sz w:val="20"/>
          <w:szCs w:val="20"/>
        </w:rPr>
      </w:pPr>
      <w:r w:rsidRPr="00416471">
        <w:rPr>
          <w:rFonts w:ascii="Arial" w:hAnsi="Arial" w:cs="Arial"/>
          <w:sz w:val="20"/>
          <w:szCs w:val="20"/>
        </w:rPr>
        <w:t xml:space="preserve">Le financement est une fonction essentielle de l’État. L’octroi de moyens est exercé selon une série de catégorisations et classifications qu’il fait des activités, des citoyens, des espaces, des conduites ou des types de connaissances qu’il entend promouvoir ou au contraire faire fonctionner à bas bruit, voire interdire </w:t>
      </w:r>
      <w:r w:rsidRPr="00416471">
        <w:rPr>
          <w:rFonts w:ascii="Arial" w:hAnsi="Arial" w:cs="Arial"/>
          <w:sz w:val="20"/>
          <w:szCs w:val="20"/>
        </w:rPr>
        <w:fldChar w:fldCharType="begin"/>
      </w:r>
      <w:r w:rsidR="00416471" w:rsidRPr="00416471">
        <w:rPr>
          <w:rFonts w:ascii="Arial" w:hAnsi="Arial" w:cs="Arial"/>
          <w:sz w:val="20"/>
          <w:szCs w:val="20"/>
        </w:rPr>
        <w:instrText xml:space="preserve"> ADDIN ZOTERO_ITEM CSL_CITATION {"citationID":"d8rAL6mf","properties":{"formattedCitation":"(Bourdieu, 1979)","plainCitation":"(Bourdieu, 1979)","noteIndex":0},"citationItems":[{"id":498,"uris":["http://zotero.org/users/2953352/items/CKD6R929"],"uri":["http://zotero.org/users/2953352/items/CKD6R929"],"itemData":{"id":498,"type":"book","call-number":"HM251 .B6226","collection-title":"Le Sens commun","event-place":"Paris","ISBN":"978-2-7073-0275-5","number-of-pages":"670","publisher":"Éditions de Minuit","publisher-place":"Paris","source":"Library of Congress ISBN","title":"La distinction: critique sociale du jugement","title-short":"La distinction","author":[{"family":"Bourdieu","given":"Pierre"}],"issued":{"date-parts":[["1979"]]}}}],"schema":"https://github.com/citation-style-language/schema/raw/master/csl-citation.json"} </w:instrText>
      </w:r>
      <w:r w:rsidRPr="00416471">
        <w:rPr>
          <w:rFonts w:ascii="Arial" w:hAnsi="Arial" w:cs="Arial"/>
          <w:sz w:val="20"/>
          <w:szCs w:val="20"/>
        </w:rPr>
        <w:fldChar w:fldCharType="separate"/>
      </w:r>
      <w:r w:rsidRPr="00416471">
        <w:rPr>
          <w:rFonts w:ascii="Arial" w:hAnsi="Arial" w:cs="Arial"/>
          <w:noProof/>
          <w:sz w:val="20"/>
          <w:szCs w:val="20"/>
        </w:rPr>
        <w:t>(Bourdieu, 1979)</w:t>
      </w:r>
      <w:r w:rsidRPr="00416471">
        <w:rPr>
          <w:rFonts w:ascii="Arial" w:hAnsi="Arial" w:cs="Arial"/>
          <w:sz w:val="20"/>
          <w:szCs w:val="20"/>
        </w:rPr>
        <w:fldChar w:fldCharType="end"/>
      </w:r>
      <w:r w:rsidRPr="00416471">
        <w:rPr>
          <w:rFonts w:ascii="Arial" w:hAnsi="Arial" w:cs="Arial"/>
          <w:sz w:val="20"/>
          <w:szCs w:val="20"/>
        </w:rPr>
        <w:t xml:space="preserve">. Dans un mouvement circulaire, l’allocation des budgets contribue à réifier ou au contraire à critiquer ou infléchir ces catégorisations. L’étude des finances publiques, leur volume et les instruments qui président à leur répartition, constitue dès lors une piste féconde pour appréhender les choix politiques ainsi que le rapport de l’État à une institution </w:t>
      </w:r>
      <w:r w:rsidRPr="00416471">
        <w:rPr>
          <w:rFonts w:ascii="Arial" w:hAnsi="Arial" w:cs="Arial"/>
          <w:sz w:val="20"/>
          <w:szCs w:val="20"/>
        </w:rPr>
        <w:fldChar w:fldCharType="begin"/>
      </w:r>
      <w:r w:rsidR="00416471" w:rsidRPr="00416471">
        <w:rPr>
          <w:rFonts w:ascii="Arial" w:hAnsi="Arial" w:cs="Arial"/>
          <w:sz w:val="20"/>
          <w:szCs w:val="20"/>
        </w:rPr>
        <w:instrText xml:space="preserve"> ADDIN ZOTERO_ITEM CSL_CITATION {"citationID":"WiLsfifY","properties":{"formattedCitation":"(Bezes et Sin\\uc0\\u233{}, 2011)","plainCitation":"(Bezes et Siné, 2011)","noteIndex":0},"citationItems":[{"id":1447,"uris":["http://zotero.org/users/2953352/items/9II4AYBV"],"uri":["http://zotero.org/users/2953352/items/9II4AYBV"],"itemData":{"id":1447,"type":"book","call-number":"HJ1071 .G68 2011","collection-title":"Académique","event-place":"Paris","ISBN":"978-2-7246-1193-9","number-of-pages":"523","publisher":"Presses de Sciences Po","publisher-place":"Paris","source":"Library of Congress ISBN","title":"Gouverner par les finances publiques","editor":[{"family":"Bezes","given":"Philippe"},{"family":"Siné","given":"Alexandre"}],"issued":{"date-parts":[["2011"]]}}}],"schema":"https://github.com/citation-style-language/schema/raw/master/csl-citation.json"} </w:instrText>
      </w:r>
      <w:r w:rsidRPr="00416471">
        <w:rPr>
          <w:rFonts w:ascii="Arial" w:hAnsi="Arial" w:cs="Arial"/>
          <w:sz w:val="20"/>
          <w:szCs w:val="20"/>
        </w:rPr>
        <w:fldChar w:fldCharType="separate"/>
      </w:r>
      <w:r w:rsidRPr="00416471">
        <w:rPr>
          <w:rFonts w:ascii="Arial" w:hAnsi="Arial" w:cs="Arial"/>
          <w:sz w:val="20"/>
          <w:szCs w:val="20"/>
        </w:rPr>
        <w:t>(Bezes et Siné, 2011)</w:t>
      </w:r>
      <w:r w:rsidRPr="00416471">
        <w:rPr>
          <w:rFonts w:ascii="Arial" w:hAnsi="Arial" w:cs="Arial"/>
          <w:sz w:val="20"/>
          <w:szCs w:val="20"/>
        </w:rPr>
        <w:fldChar w:fldCharType="end"/>
      </w:r>
      <w:r w:rsidRPr="00416471">
        <w:rPr>
          <w:rFonts w:ascii="Arial" w:hAnsi="Arial" w:cs="Arial"/>
          <w:sz w:val="20"/>
          <w:szCs w:val="20"/>
        </w:rPr>
        <w:t xml:space="preserve">. </w:t>
      </w:r>
    </w:p>
    <w:p w14:paraId="6C16B400" w14:textId="1F221CFE" w:rsidR="00C12CE8" w:rsidRPr="00416471" w:rsidRDefault="00C12CE8" w:rsidP="003F1A67">
      <w:pPr>
        <w:spacing w:line="276" w:lineRule="auto"/>
        <w:ind w:firstLine="708"/>
        <w:jc w:val="both"/>
        <w:rPr>
          <w:rFonts w:ascii="Arial" w:hAnsi="Arial" w:cs="Arial"/>
          <w:sz w:val="20"/>
          <w:szCs w:val="20"/>
        </w:rPr>
      </w:pPr>
      <w:r w:rsidRPr="00416471">
        <w:rPr>
          <w:rFonts w:ascii="Arial" w:hAnsi="Arial" w:cs="Arial"/>
          <w:sz w:val="20"/>
          <w:szCs w:val="20"/>
        </w:rPr>
        <w:t>Cette communication analyse le financement de la psychiatrie publique autour de trois questions pivot : quelles valeurs politiques s’incarnent dans les politiques budgétaires ? quels instruments concrets sont-ils utilisés pour répartir les budgets entre offreurs de soins ?</w:t>
      </w:r>
      <w:r w:rsidR="00416471" w:rsidRPr="00416471">
        <w:rPr>
          <w:rFonts w:ascii="Arial" w:hAnsi="Arial" w:cs="Arial"/>
          <w:sz w:val="20"/>
          <w:szCs w:val="20"/>
        </w:rPr>
        <w:t xml:space="preserve"> quels effets le financement </w:t>
      </w:r>
      <w:proofErr w:type="spellStart"/>
      <w:r w:rsidR="00416471" w:rsidRPr="00416471">
        <w:rPr>
          <w:rFonts w:ascii="Arial" w:hAnsi="Arial" w:cs="Arial"/>
          <w:sz w:val="20"/>
          <w:szCs w:val="20"/>
        </w:rPr>
        <w:t>a-t-il</w:t>
      </w:r>
      <w:proofErr w:type="spellEnd"/>
      <w:r w:rsidR="00416471" w:rsidRPr="00416471">
        <w:rPr>
          <w:rFonts w:ascii="Arial" w:hAnsi="Arial" w:cs="Arial"/>
          <w:sz w:val="20"/>
          <w:szCs w:val="20"/>
        </w:rPr>
        <w:t xml:space="preserve"> précisément sur les pratiques et la transformation des organisations de soins ? </w:t>
      </w:r>
    </w:p>
    <w:p w14:paraId="4688530A" w14:textId="25FD8D6A" w:rsidR="00C12CE8" w:rsidRDefault="00416471" w:rsidP="003F1A67">
      <w:pPr>
        <w:spacing w:line="276" w:lineRule="auto"/>
        <w:ind w:firstLine="708"/>
        <w:jc w:val="both"/>
        <w:rPr>
          <w:rFonts w:ascii="Arial" w:hAnsi="Arial" w:cs="Arial"/>
          <w:sz w:val="20"/>
          <w:szCs w:val="20"/>
        </w:rPr>
      </w:pPr>
      <w:r w:rsidRPr="00416471">
        <w:rPr>
          <w:rFonts w:ascii="Arial" w:hAnsi="Arial" w:cs="Arial"/>
          <w:sz w:val="20"/>
          <w:szCs w:val="20"/>
        </w:rPr>
        <w:t xml:space="preserve">A partir de d’une « ethnographie critique de l’action publique » </w:t>
      </w:r>
      <w:r w:rsidRPr="00416471">
        <w:rPr>
          <w:rFonts w:ascii="Arial" w:hAnsi="Arial" w:cs="Arial"/>
          <w:sz w:val="20"/>
          <w:szCs w:val="20"/>
        </w:rPr>
        <w:fldChar w:fldCharType="begin"/>
      </w:r>
      <w:r w:rsidRPr="00416471">
        <w:rPr>
          <w:rFonts w:ascii="Arial" w:hAnsi="Arial" w:cs="Arial"/>
          <w:sz w:val="20"/>
          <w:szCs w:val="20"/>
        </w:rPr>
        <w:instrText xml:space="preserve"> ADDIN ZOTERO_ITEM CSL_CITATION {"citationID":"Ydmaqknn","properties":{"formattedCitation":"(Dubois, 2012)","plainCitation":"(Dubois, 2012)","noteIndex":0},"citationItems":[{"id":1603,"uris":["http://zotero.org/users/2953352/items/HJ3SA82G"],"uri":["http://zotero.org/users/2953352/items/HJ3SA82G"],"itemData":{"id":1603,"type":"article-journal","abstract":"&lt;titre&gt;Résumé&lt;/titre&gt;Les approches ethnographiques sont utiles pour la collecte d’un matériau qualitatif offrant une vision nuancée et réaliste des politiques publiques. Leur ambition ne doit cependant pas se limiter à compléter par des informations détaillées les approches macro-sociales ou institutionnelles. À partir d’une enquête sur le contrôle des assistés sociaux en France, on verra ainsi que le travail ethnographique de terrain, et en particulier l’observation directe, peuvent s’avérer propices au dévoilement de caractéristiques structurelles de l’intervention publique. En l’occurrence, la désobjectivation des catégories collectives construites à la faveur du développement de l’État social conduit notamment à des contrôles sans cesse plus étroits des assistés. Ces contrôles sont fondés sur des critères flous définis en pratique et en situation. La restitution de ces pratiques et situations grâce à l’enquête ethnographique est ainsi appelée par des évolutions d’ensemble. L’enquête ethnographique permet en retour l’examen critique de ces évolutions. Nos enquêtes sur les transformations du traitement des assistés sociaux illustrent ainsi ce que l’on se propose d’appeler une ethnographie critique de l’action publique.","container-title":"Gouvernement &amp; action publique","ISSN":"2260-0965","issue":"1","language":"fr","note":"publisher: Presses de Sciences Po","page":"83-101","source":"www.cairn.info","title":"Ethnographier l'action publique. Les transformations de l'État social au prisme de l'enquête de terrain","volume":"1","author":[{"family":"Dubois","given":"Vincent"}],"issued":{"date-parts":[["2012",4,3]]}}}],"schema":"https://github.com/citation-style-language/schema/raw/master/csl-citation.json"} </w:instrText>
      </w:r>
      <w:r w:rsidRPr="00416471">
        <w:rPr>
          <w:rFonts w:ascii="Arial" w:hAnsi="Arial" w:cs="Arial"/>
          <w:sz w:val="20"/>
          <w:szCs w:val="20"/>
        </w:rPr>
        <w:fldChar w:fldCharType="separate"/>
      </w:r>
      <w:r w:rsidRPr="00416471">
        <w:rPr>
          <w:rFonts w:ascii="Arial" w:hAnsi="Arial" w:cs="Arial"/>
          <w:noProof/>
          <w:sz w:val="20"/>
          <w:szCs w:val="20"/>
        </w:rPr>
        <w:t>(Dubois, 2012)</w:t>
      </w:r>
      <w:r w:rsidRPr="00416471">
        <w:rPr>
          <w:rFonts w:ascii="Arial" w:hAnsi="Arial" w:cs="Arial"/>
          <w:sz w:val="20"/>
          <w:szCs w:val="20"/>
        </w:rPr>
        <w:fldChar w:fldCharType="end"/>
      </w:r>
      <w:r w:rsidRPr="00416471">
        <w:rPr>
          <w:rFonts w:ascii="Arial" w:hAnsi="Arial" w:cs="Arial"/>
          <w:sz w:val="20"/>
          <w:szCs w:val="20"/>
        </w:rPr>
        <w:t xml:space="preserve"> menée de 2016 à 2020 dans deux Agences régionales de santé (ARS, chargées de doter financièrement les établissements de soins psychiatriques) et deux établissements spécialisés en santé mentale, l’analyse montre que l’institution hospitalière est incitée depuis une quinzaine d’années à financer sa décomposition sur ses propres deniers. En effet,</w:t>
      </w:r>
      <w:r w:rsidR="00701AAA">
        <w:rPr>
          <w:rFonts w:ascii="Arial" w:hAnsi="Arial" w:cs="Arial"/>
          <w:sz w:val="20"/>
          <w:szCs w:val="20"/>
        </w:rPr>
        <w:t xml:space="preserve"> dans le contexte </w:t>
      </w:r>
      <w:r w:rsidR="003D367E">
        <w:rPr>
          <w:rFonts w:ascii="Arial" w:hAnsi="Arial" w:cs="Arial"/>
          <w:sz w:val="20"/>
          <w:szCs w:val="20"/>
        </w:rPr>
        <w:t xml:space="preserve">d’un contrôle, voire </w:t>
      </w:r>
      <w:r w:rsidR="00701AAA">
        <w:rPr>
          <w:rFonts w:ascii="Arial" w:hAnsi="Arial" w:cs="Arial"/>
          <w:sz w:val="20"/>
          <w:szCs w:val="20"/>
        </w:rPr>
        <w:t xml:space="preserve">d’une contraction </w:t>
      </w:r>
      <w:r w:rsidR="00A8341E">
        <w:rPr>
          <w:rFonts w:ascii="Arial" w:hAnsi="Arial" w:cs="Arial"/>
          <w:sz w:val="20"/>
          <w:szCs w:val="20"/>
        </w:rPr>
        <w:t xml:space="preserve">généralisée </w:t>
      </w:r>
      <w:r w:rsidR="00701AAA">
        <w:rPr>
          <w:rFonts w:ascii="Arial" w:hAnsi="Arial" w:cs="Arial"/>
          <w:sz w:val="20"/>
          <w:szCs w:val="20"/>
        </w:rPr>
        <w:t>de la ressource financière,</w:t>
      </w:r>
      <w:r w:rsidRPr="00416471">
        <w:rPr>
          <w:rFonts w:ascii="Arial" w:hAnsi="Arial" w:cs="Arial"/>
          <w:sz w:val="20"/>
          <w:szCs w:val="20"/>
        </w:rPr>
        <w:t xml:space="preserve"> la récurrence des budgets de fonctionnement d’un établissement hospitalier en psychiatrie dépend de sa capacité à s’émanciper ou dépasser les prises en charge hospitalières, au profit du « virage ambulatoire », promu par une série de discours et d’instruments d’action publique. </w:t>
      </w:r>
    </w:p>
    <w:p w14:paraId="7789E1C4" w14:textId="30DB8E3E" w:rsidR="00416471" w:rsidRPr="00416471" w:rsidRDefault="00416471" w:rsidP="003F1A67">
      <w:pPr>
        <w:spacing w:line="276" w:lineRule="auto"/>
        <w:ind w:firstLine="708"/>
        <w:jc w:val="both"/>
        <w:rPr>
          <w:rFonts w:ascii="Arial" w:hAnsi="Arial" w:cs="Arial"/>
          <w:sz w:val="20"/>
          <w:szCs w:val="20"/>
        </w:rPr>
      </w:pPr>
      <w:r>
        <w:rPr>
          <w:rFonts w:ascii="Arial" w:hAnsi="Arial" w:cs="Arial"/>
          <w:sz w:val="20"/>
          <w:szCs w:val="20"/>
        </w:rPr>
        <w:t>Nous appuierons notamment sur deu</w:t>
      </w:r>
      <w:r w:rsidR="003F1A67">
        <w:rPr>
          <w:rFonts w:ascii="Arial" w:hAnsi="Arial" w:cs="Arial"/>
          <w:sz w:val="20"/>
          <w:szCs w:val="20"/>
        </w:rPr>
        <w:t>x</w:t>
      </w:r>
      <w:r>
        <w:rPr>
          <w:rFonts w:ascii="Arial" w:hAnsi="Arial" w:cs="Arial"/>
          <w:sz w:val="20"/>
          <w:szCs w:val="20"/>
        </w:rPr>
        <w:t xml:space="preserve"> éléments, largement promotionnés dans</w:t>
      </w:r>
      <w:r w:rsidR="003F1A67">
        <w:rPr>
          <w:rFonts w:ascii="Arial" w:hAnsi="Arial" w:cs="Arial"/>
          <w:sz w:val="20"/>
          <w:szCs w:val="20"/>
        </w:rPr>
        <w:t xml:space="preserve"> </w:t>
      </w:r>
      <w:r>
        <w:rPr>
          <w:rFonts w:ascii="Arial" w:hAnsi="Arial" w:cs="Arial"/>
          <w:sz w:val="20"/>
          <w:szCs w:val="20"/>
        </w:rPr>
        <w:t>le cadre du recours accru au financement « sur projets »</w:t>
      </w:r>
      <w:r w:rsidR="003F1A67">
        <w:rPr>
          <w:rFonts w:ascii="Arial" w:hAnsi="Arial" w:cs="Arial"/>
          <w:sz w:val="20"/>
          <w:szCs w:val="20"/>
        </w:rPr>
        <w:t xml:space="preserve"> : la recherche </w:t>
      </w:r>
      <w:r w:rsidR="00B75EC4">
        <w:rPr>
          <w:rFonts w:ascii="Arial" w:hAnsi="Arial" w:cs="Arial"/>
          <w:sz w:val="20"/>
          <w:szCs w:val="20"/>
        </w:rPr>
        <w:t>constante du transfert des ressources hospitalières vers des « parcours de soins » qui favorisent le maintien à domicile et le suivi en ambulatoire d’une part</w:t>
      </w:r>
      <w:r w:rsidR="00DB3067">
        <w:rPr>
          <w:rFonts w:ascii="Arial" w:hAnsi="Arial" w:cs="Arial"/>
          <w:sz w:val="20"/>
          <w:szCs w:val="20"/>
        </w:rPr>
        <w:t> ;</w:t>
      </w:r>
      <w:r w:rsidR="00B75EC4">
        <w:rPr>
          <w:rFonts w:ascii="Arial" w:hAnsi="Arial" w:cs="Arial"/>
          <w:sz w:val="20"/>
          <w:szCs w:val="20"/>
        </w:rPr>
        <w:t xml:space="preserve"> et l</w:t>
      </w:r>
      <w:r w:rsidR="00DB3067">
        <w:rPr>
          <w:rFonts w:ascii="Arial" w:hAnsi="Arial" w:cs="Arial"/>
          <w:sz w:val="20"/>
          <w:szCs w:val="20"/>
        </w:rPr>
        <w:t xml:space="preserve">’appel, qui est par maintes occasions répétées, à des institutions extra-psychiatriques (médecine générale, addictologie, médico-social, etc.) pour participer à la prise en soins des personnes vivant avec des troubles psychiques. Ces deux dynamiques nous semblent caractéristiques d’un mouvement de </w:t>
      </w:r>
      <w:r w:rsidR="00DB3067" w:rsidRPr="00DB3067">
        <w:rPr>
          <w:rFonts w:ascii="Arial" w:hAnsi="Arial" w:cs="Arial"/>
          <w:i/>
          <w:iCs/>
          <w:sz w:val="20"/>
          <w:szCs w:val="20"/>
        </w:rPr>
        <w:t>désinstitutionalisation</w:t>
      </w:r>
      <w:r w:rsidR="00DB3067">
        <w:rPr>
          <w:rFonts w:ascii="Arial" w:hAnsi="Arial" w:cs="Arial"/>
          <w:sz w:val="20"/>
          <w:szCs w:val="20"/>
        </w:rPr>
        <w:t xml:space="preserve">, compris à la fois comme l’effacement des murs de l’hôpital et comme </w:t>
      </w:r>
      <w:r w:rsidR="00DC5820">
        <w:rPr>
          <w:rFonts w:ascii="Arial" w:hAnsi="Arial" w:cs="Arial"/>
          <w:sz w:val="20"/>
          <w:szCs w:val="20"/>
        </w:rPr>
        <w:t xml:space="preserve">le recul de la référence à la psychiatrie (comme forme organisée de pratiques sociales et professionnelles), que nous souhaitons interroger dans la communication. </w:t>
      </w:r>
    </w:p>
    <w:p w14:paraId="46C1D560" w14:textId="152390FB" w:rsidR="00416471" w:rsidRPr="00416471" w:rsidRDefault="00416471" w:rsidP="00416471">
      <w:pPr>
        <w:spacing w:line="276" w:lineRule="auto"/>
        <w:jc w:val="both"/>
        <w:rPr>
          <w:rFonts w:ascii="Arial" w:hAnsi="Arial" w:cs="Arial"/>
          <w:sz w:val="20"/>
          <w:szCs w:val="20"/>
        </w:rPr>
      </w:pPr>
    </w:p>
    <w:p w14:paraId="5B5B2CBC" w14:textId="77777777" w:rsidR="00416471" w:rsidRPr="00416471" w:rsidRDefault="00416471" w:rsidP="00416471">
      <w:pPr>
        <w:pStyle w:val="Bibliographie1"/>
        <w:spacing w:line="276" w:lineRule="auto"/>
        <w:jc w:val="both"/>
        <w:rPr>
          <w:rFonts w:ascii="Arial" w:hAnsi="Arial" w:cs="Arial"/>
          <w:sz w:val="20"/>
          <w:szCs w:val="20"/>
        </w:rPr>
      </w:pPr>
      <w:r w:rsidRPr="00416471">
        <w:rPr>
          <w:rFonts w:ascii="Arial" w:hAnsi="Arial" w:cs="Arial"/>
          <w:sz w:val="20"/>
          <w:szCs w:val="20"/>
        </w:rPr>
        <w:fldChar w:fldCharType="begin"/>
      </w:r>
      <w:r w:rsidRPr="00416471">
        <w:rPr>
          <w:rFonts w:ascii="Arial" w:hAnsi="Arial" w:cs="Arial"/>
          <w:sz w:val="20"/>
          <w:szCs w:val="20"/>
        </w:rPr>
        <w:instrText xml:space="preserve"> ADDIN ZOTERO_BIBL {"uncited":[],"omitted":[],"custom":[]} CSL_BIBLIOGRAPHY </w:instrText>
      </w:r>
      <w:r w:rsidRPr="00416471">
        <w:rPr>
          <w:rFonts w:ascii="Arial" w:hAnsi="Arial" w:cs="Arial"/>
          <w:sz w:val="20"/>
          <w:szCs w:val="20"/>
        </w:rPr>
        <w:fldChar w:fldCharType="separate"/>
      </w:r>
      <w:r w:rsidRPr="00416471">
        <w:rPr>
          <w:rFonts w:ascii="Arial" w:hAnsi="Arial" w:cs="Arial"/>
          <w:b/>
          <w:bCs/>
          <w:smallCaps/>
          <w:sz w:val="20"/>
          <w:szCs w:val="20"/>
        </w:rPr>
        <w:t>Bezes</w:t>
      </w:r>
      <w:r w:rsidRPr="00416471">
        <w:rPr>
          <w:rFonts w:ascii="Arial" w:hAnsi="Arial" w:cs="Arial"/>
          <w:sz w:val="20"/>
          <w:szCs w:val="20"/>
        </w:rPr>
        <w:t xml:space="preserve"> Philippe, </w:t>
      </w:r>
      <w:r w:rsidRPr="00416471">
        <w:rPr>
          <w:rFonts w:ascii="Arial" w:hAnsi="Arial" w:cs="Arial"/>
          <w:b/>
          <w:bCs/>
          <w:smallCaps/>
          <w:sz w:val="20"/>
          <w:szCs w:val="20"/>
        </w:rPr>
        <w:t>Siné</w:t>
      </w:r>
      <w:r w:rsidRPr="00416471">
        <w:rPr>
          <w:rFonts w:ascii="Arial" w:hAnsi="Arial" w:cs="Arial"/>
          <w:sz w:val="20"/>
          <w:szCs w:val="20"/>
        </w:rPr>
        <w:t xml:space="preserve"> Alexandre (dir.), 2011, </w:t>
      </w:r>
      <w:r w:rsidRPr="00416471">
        <w:rPr>
          <w:rFonts w:ascii="Arial" w:hAnsi="Arial" w:cs="Arial"/>
          <w:i/>
          <w:iCs/>
          <w:sz w:val="20"/>
          <w:szCs w:val="20"/>
        </w:rPr>
        <w:t>Gouverner par les finances publiques</w:t>
      </w:r>
      <w:r w:rsidRPr="00416471">
        <w:rPr>
          <w:rFonts w:ascii="Arial" w:hAnsi="Arial" w:cs="Arial"/>
          <w:sz w:val="20"/>
          <w:szCs w:val="20"/>
        </w:rPr>
        <w:t>, Paris, Presses de Sciences Po, Académique, 523 p.</w:t>
      </w:r>
    </w:p>
    <w:p w14:paraId="53CFFE77" w14:textId="77777777" w:rsidR="00416471" w:rsidRPr="00416471" w:rsidRDefault="00416471" w:rsidP="00416471">
      <w:pPr>
        <w:pStyle w:val="Bibliographie1"/>
        <w:spacing w:line="276" w:lineRule="auto"/>
        <w:jc w:val="both"/>
        <w:rPr>
          <w:rFonts w:ascii="Arial" w:hAnsi="Arial" w:cs="Arial"/>
          <w:sz w:val="20"/>
          <w:szCs w:val="20"/>
        </w:rPr>
      </w:pPr>
      <w:r w:rsidRPr="00416471">
        <w:rPr>
          <w:rFonts w:ascii="Arial" w:hAnsi="Arial" w:cs="Arial"/>
          <w:b/>
          <w:bCs/>
          <w:smallCaps/>
          <w:sz w:val="20"/>
          <w:szCs w:val="20"/>
        </w:rPr>
        <w:t>Bourdieu</w:t>
      </w:r>
      <w:r w:rsidRPr="00416471">
        <w:rPr>
          <w:rFonts w:ascii="Arial" w:hAnsi="Arial" w:cs="Arial"/>
          <w:sz w:val="20"/>
          <w:szCs w:val="20"/>
        </w:rPr>
        <w:t xml:space="preserve"> Pierre, 1979, </w:t>
      </w:r>
      <w:r w:rsidRPr="00416471">
        <w:rPr>
          <w:rFonts w:ascii="Arial" w:hAnsi="Arial" w:cs="Arial"/>
          <w:i/>
          <w:iCs/>
          <w:sz w:val="20"/>
          <w:szCs w:val="20"/>
        </w:rPr>
        <w:t>La distinction: critique sociale du jugement</w:t>
      </w:r>
      <w:r w:rsidRPr="00416471">
        <w:rPr>
          <w:rFonts w:ascii="Arial" w:hAnsi="Arial" w:cs="Arial"/>
          <w:sz w:val="20"/>
          <w:szCs w:val="20"/>
        </w:rPr>
        <w:t>, Paris, Éditions de Minuit, Le Sens commun, 670 p.</w:t>
      </w:r>
    </w:p>
    <w:p w14:paraId="6D61FC2F" w14:textId="77777777" w:rsidR="00416471" w:rsidRPr="00416471" w:rsidRDefault="00416471" w:rsidP="00416471">
      <w:pPr>
        <w:pStyle w:val="Bibliographie1"/>
        <w:spacing w:line="276" w:lineRule="auto"/>
        <w:jc w:val="both"/>
        <w:rPr>
          <w:rFonts w:ascii="Arial" w:hAnsi="Arial" w:cs="Arial"/>
          <w:sz w:val="20"/>
          <w:szCs w:val="20"/>
        </w:rPr>
      </w:pPr>
      <w:r w:rsidRPr="00416471">
        <w:rPr>
          <w:rFonts w:ascii="Arial" w:hAnsi="Arial" w:cs="Arial"/>
          <w:b/>
          <w:bCs/>
          <w:smallCaps/>
          <w:sz w:val="20"/>
          <w:szCs w:val="20"/>
        </w:rPr>
        <w:t>Dubois</w:t>
      </w:r>
      <w:r w:rsidRPr="00416471">
        <w:rPr>
          <w:rFonts w:ascii="Arial" w:hAnsi="Arial" w:cs="Arial"/>
          <w:sz w:val="20"/>
          <w:szCs w:val="20"/>
        </w:rPr>
        <w:t xml:space="preserve"> Vincent, 2012, « Ethnographier l’action publique. Les transformations de l’État social au prisme de l’enquête de terrain », </w:t>
      </w:r>
      <w:r w:rsidRPr="00416471">
        <w:rPr>
          <w:rFonts w:ascii="Arial" w:hAnsi="Arial" w:cs="Arial"/>
          <w:i/>
          <w:iCs/>
          <w:sz w:val="20"/>
          <w:szCs w:val="20"/>
        </w:rPr>
        <w:t>Gouvernement &amp; action publique</w:t>
      </w:r>
      <w:r w:rsidRPr="00416471">
        <w:rPr>
          <w:rFonts w:ascii="Arial" w:hAnsi="Arial" w:cs="Arial"/>
          <w:sz w:val="20"/>
          <w:szCs w:val="20"/>
        </w:rPr>
        <w:t>, 1(1), p. 83</w:t>
      </w:r>
      <w:r w:rsidRPr="00416471">
        <w:rPr>
          <w:rFonts w:ascii="Cambria Math" w:hAnsi="Cambria Math" w:cs="Cambria Math"/>
          <w:sz w:val="20"/>
          <w:szCs w:val="20"/>
        </w:rPr>
        <w:t>‑</w:t>
      </w:r>
      <w:r w:rsidRPr="00416471">
        <w:rPr>
          <w:rFonts w:ascii="Arial" w:hAnsi="Arial" w:cs="Arial"/>
          <w:sz w:val="20"/>
          <w:szCs w:val="20"/>
        </w:rPr>
        <w:t>101.</w:t>
      </w:r>
    </w:p>
    <w:p w14:paraId="107D9D24" w14:textId="283B8DB2" w:rsidR="00416471" w:rsidRPr="00416471" w:rsidRDefault="00416471" w:rsidP="00416471">
      <w:pPr>
        <w:spacing w:line="276" w:lineRule="auto"/>
        <w:jc w:val="both"/>
        <w:rPr>
          <w:rFonts w:ascii="Arial" w:hAnsi="Arial" w:cs="Arial"/>
          <w:sz w:val="20"/>
          <w:szCs w:val="20"/>
        </w:rPr>
      </w:pPr>
      <w:r w:rsidRPr="00416471">
        <w:rPr>
          <w:rFonts w:ascii="Arial" w:hAnsi="Arial" w:cs="Arial"/>
          <w:sz w:val="20"/>
          <w:szCs w:val="20"/>
        </w:rPr>
        <w:fldChar w:fldCharType="end"/>
      </w:r>
    </w:p>
    <w:p w14:paraId="2425D3C4" w14:textId="68C540DD" w:rsidR="00C12CE8" w:rsidRPr="00416471" w:rsidRDefault="00C12CE8" w:rsidP="00416471">
      <w:pPr>
        <w:spacing w:line="276" w:lineRule="auto"/>
        <w:jc w:val="both"/>
        <w:rPr>
          <w:rFonts w:ascii="Arial" w:hAnsi="Arial" w:cs="Arial"/>
          <w:sz w:val="20"/>
          <w:szCs w:val="20"/>
        </w:rPr>
      </w:pPr>
    </w:p>
    <w:p w14:paraId="72563EF1" w14:textId="77777777" w:rsidR="00C12CE8" w:rsidRPr="00416471" w:rsidRDefault="00C12CE8" w:rsidP="00416471">
      <w:pPr>
        <w:spacing w:line="276" w:lineRule="auto"/>
        <w:jc w:val="both"/>
        <w:rPr>
          <w:rFonts w:ascii="Arial" w:hAnsi="Arial" w:cs="Arial"/>
          <w:sz w:val="20"/>
          <w:szCs w:val="20"/>
        </w:rPr>
      </w:pPr>
    </w:p>
    <w:sectPr w:rsidR="00C12CE8" w:rsidRPr="00416471">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C000ACFF"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Math">
    <w:panose1 w:val="02040503050406030204"/>
    <w:charset w:val="00"/>
    <w:family w:val="roman"/>
    <w:pitch w:val="variable"/>
    <w:sig w:usb0="E00002FF" w:usb1="420024FF"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2CE8"/>
    <w:rsid w:val="002A2B9B"/>
    <w:rsid w:val="003953C2"/>
    <w:rsid w:val="003D367E"/>
    <w:rsid w:val="003F1A67"/>
    <w:rsid w:val="004150B9"/>
    <w:rsid w:val="00416471"/>
    <w:rsid w:val="006E33B6"/>
    <w:rsid w:val="00701AAA"/>
    <w:rsid w:val="0093478F"/>
    <w:rsid w:val="0099248D"/>
    <w:rsid w:val="00A8341E"/>
    <w:rsid w:val="00B75EC4"/>
    <w:rsid w:val="00C12CE8"/>
    <w:rsid w:val="00DB3067"/>
    <w:rsid w:val="00DC5820"/>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ecimalSymbol w:val=","/>
  <w:listSeparator w:val=";"/>
  <w14:docId w14:val="72441B34"/>
  <w15:chartTrackingRefBased/>
  <w15:docId w15:val="{52D4CA61-2C32-814A-A05F-27F2AB03A6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fr-FR"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12CE8"/>
    <w:rPr>
      <w:rFonts w:ascii="Calibri" w:eastAsia="Calibri" w:hAnsi="Calibri" w:cs="Calibri"/>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Bibliographie1">
    <w:name w:val="Bibliographie1"/>
    <w:basedOn w:val="Normal"/>
    <w:link w:val="BibliographyCar"/>
    <w:rsid w:val="00416471"/>
    <w:pPr>
      <w:spacing w:after="240"/>
    </w:pPr>
  </w:style>
  <w:style w:type="character" w:customStyle="1" w:styleId="BibliographyCar">
    <w:name w:val="Bibliography Car"/>
    <w:basedOn w:val="Policepardfaut"/>
    <w:link w:val="Bibliographie1"/>
    <w:rsid w:val="00416471"/>
    <w:rPr>
      <w:rFonts w:ascii="Calibri" w:eastAsia="Calibri" w:hAnsi="Calibri" w:cs="Calibri"/>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90FE5A1-C20A-654F-8297-0ABF2A1FB3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27</TotalTime>
  <Pages>2</Pages>
  <Words>1035</Words>
  <Characters>6442</Characters>
  <Application>Microsoft Office Word</Application>
  <DocSecurity>0</DocSecurity>
  <Lines>90</Lines>
  <Paragraphs>23</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7454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Tonya TARTOUR</dc:creator>
  <cp:keywords/>
  <dc:description/>
  <cp:lastModifiedBy>Tonya TARTOUR</cp:lastModifiedBy>
  <cp:revision>12</cp:revision>
  <dcterms:created xsi:type="dcterms:W3CDTF">2021-12-03T07:55:00Z</dcterms:created>
  <dcterms:modified xsi:type="dcterms:W3CDTF">2021-12-03T11:00:00Z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zotero-version="5.0.95.2"&gt;&lt;session id="xLTXe2kF"/&gt;&lt;style id="http://www.zotero.org/styles/population" hasBibliography="1" bibliographyStyleHasBeenSet="1"/&gt;&lt;prefs&gt;&lt;pref name="fieldType" value="Field"/&gt;&lt;pref name="automaticJournalAbbr</vt:lpwstr>
  </property>
  <property fmtid="{D5CDD505-2E9C-101B-9397-08002B2CF9AE}" pid="3" name="ZOTERO_PREF_2">
    <vt:lpwstr>eviations" value="true"/&gt;&lt;/prefs&gt;&lt;/data&gt;</vt:lpwstr>
  </property>
</Properties>
</file>