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88079" w14:textId="1229E325" w:rsidR="00853DC6" w:rsidRPr="005B3673" w:rsidRDefault="00CC3AB4" w:rsidP="00CC3AB4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B3673">
        <w:rPr>
          <w:color w:val="000000"/>
        </w:rPr>
        <w:t>Titre : Le droit à l’habitat</w:t>
      </w:r>
      <w:r w:rsidR="00853DC6" w:rsidRPr="005B3673">
        <w:rPr>
          <w:color w:val="000000"/>
        </w:rPr>
        <w:t xml:space="preserve"> en autonomie </w:t>
      </w:r>
      <w:r w:rsidRPr="005B3673">
        <w:rPr>
          <w:color w:val="000000"/>
        </w:rPr>
        <w:t xml:space="preserve">des personnes handicapées </w:t>
      </w:r>
      <w:r w:rsidR="00853DC6" w:rsidRPr="005B3673">
        <w:rPr>
          <w:color w:val="000000"/>
        </w:rPr>
        <w:t xml:space="preserve">dans le cadre de la </w:t>
      </w:r>
      <w:r w:rsidRPr="005B3673">
        <w:rPr>
          <w:color w:val="000000"/>
        </w:rPr>
        <w:t>révolution numérique. Une illustration</w:t>
      </w:r>
      <w:r w:rsidR="005B3673">
        <w:rPr>
          <w:color w:val="000000"/>
        </w:rPr>
        <w:t xml:space="preserve"> </w:t>
      </w:r>
      <w:r w:rsidRPr="005B3673">
        <w:rPr>
          <w:color w:val="000000"/>
        </w:rPr>
        <w:t>à partir du déploiement des compteurs dits « </w:t>
      </w:r>
      <w:r w:rsidRPr="005B3673">
        <w:rPr>
          <w:color w:val="000000"/>
        </w:rPr>
        <w:t>intelligents »</w:t>
      </w:r>
      <w:r w:rsidR="007E5042">
        <w:rPr>
          <w:color w:val="000000"/>
        </w:rPr>
        <w:t xml:space="preserve"> en </w:t>
      </w:r>
      <w:r w:rsidR="00126729">
        <w:rPr>
          <w:color w:val="000000"/>
        </w:rPr>
        <w:t>R</w:t>
      </w:r>
      <w:r w:rsidR="007E5042">
        <w:rPr>
          <w:color w:val="000000"/>
        </w:rPr>
        <w:t>égion wallonne</w:t>
      </w:r>
      <w:r w:rsidRPr="005B3673">
        <w:rPr>
          <w:color w:val="000000"/>
        </w:rPr>
        <w:t xml:space="preserve">. </w:t>
      </w:r>
    </w:p>
    <w:p w14:paraId="65955355" w14:textId="77777777" w:rsidR="000A54CC" w:rsidRPr="005B3673" w:rsidRDefault="00CC3AB4" w:rsidP="00853DC6">
      <w:pPr>
        <w:shd w:val="clear" w:color="auto" w:fill="FFFFFF"/>
        <w:spacing w:before="100" w:beforeAutospacing="1" w:after="100" w:afterAutospacing="1"/>
        <w:jc w:val="both"/>
      </w:pPr>
      <w:r w:rsidRPr="005B3673">
        <w:rPr>
          <w:color w:val="000000"/>
        </w:rPr>
        <w:t xml:space="preserve">Axe : </w:t>
      </w:r>
      <w:r w:rsidR="006E3DFD" w:rsidRPr="005B3673">
        <w:t>4.  b (</w:t>
      </w:r>
      <w:r w:rsidR="00FC4B0C" w:rsidRPr="005B3673">
        <w:t>désinstitutionalisation</w:t>
      </w:r>
      <w:r w:rsidR="006E3DFD" w:rsidRPr="005B3673">
        <w:t>) et e (autre : révolution numérique,</w:t>
      </w:r>
      <w:r w:rsidRPr="005B3673">
        <w:t xml:space="preserve"> fracture numérique,</w:t>
      </w:r>
      <w:r w:rsidR="006E3DFD" w:rsidRPr="005B3673">
        <w:t xml:space="preserve"> internet de l’objet). </w:t>
      </w:r>
    </w:p>
    <w:p w14:paraId="2CAAD89E" w14:textId="77777777" w:rsidR="00853DC6" w:rsidRPr="005B3673" w:rsidRDefault="00853DC6" w:rsidP="00853DC6">
      <w:pPr>
        <w:shd w:val="clear" w:color="auto" w:fill="FFFFFF"/>
        <w:spacing w:before="100" w:beforeAutospacing="1" w:after="100" w:afterAutospacing="1"/>
        <w:jc w:val="both"/>
      </w:pPr>
      <w:r w:rsidRPr="005B3673">
        <w:t>Langue : Français.</w:t>
      </w:r>
    </w:p>
    <w:p w14:paraId="3144FF17" w14:textId="27863C67" w:rsidR="0094408D" w:rsidRPr="009D0719" w:rsidRDefault="007477EF" w:rsidP="00AA4E7C">
      <w:pPr>
        <w:jc w:val="both"/>
        <w:rPr>
          <w:color w:val="000000" w:themeColor="text1"/>
        </w:rPr>
      </w:pPr>
      <w:r w:rsidRPr="009D0719">
        <w:rPr>
          <w:color w:val="000000" w:themeColor="text1"/>
        </w:rPr>
        <w:t xml:space="preserve">Déduite de </w:t>
      </w:r>
      <w:r w:rsidR="009E1622" w:rsidRPr="009D0719">
        <w:rPr>
          <w:color w:val="000000" w:themeColor="text1"/>
        </w:rPr>
        <w:t>la Convention relative aux droits des personnes handicapées (ci-après la CDPH)</w:t>
      </w:r>
      <w:r w:rsidR="008A39CE" w:rsidRPr="009D0719">
        <w:rPr>
          <w:color w:val="000000" w:themeColor="text1"/>
        </w:rPr>
        <w:t xml:space="preserve"> et fortement encouragée par le Comité </w:t>
      </w:r>
      <w:r w:rsidR="008A39CE" w:rsidRPr="009D0719">
        <w:rPr>
          <w:i/>
          <w:color w:val="000000" w:themeColor="text1"/>
        </w:rPr>
        <w:t>ad hoc</w:t>
      </w:r>
      <w:r w:rsidR="008A39CE" w:rsidRPr="009D0719">
        <w:rPr>
          <w:color w:val="000000" w:themeColor="text1"/>
        </w:rPr>
        <w:t xml:space="preserve"> (Ghesquière </w:t>
      </w:r>
      <w:r w:rsidR="008A39CE" w:rsidRPr="009D0719">
        <w:rPr>
          <w:i/>
          <w:color w:val="000000" w:themeColor="text1"/>
        </w:rPr>
        <w:t>et al</w:t>
      </w:r>
      <w:r w:rsidR="008A39CE" w:rsidRPr="009D0719">
        <w:rPr>
          <w:color w:val="000000" w:themeColor="text1"/>
        </w:rPr>
        <w:t xml:space="preserve">., 2018), </w:t>
      </w:r>
      <w:r w:rsidR="009E1622" w:rsidRPr="009D0719">
        <w:rPr>
          <w:color w:val="000000" w:themeColor="text1"/>
        </w:rPr>
        <w:t>l</w:t>
      </w:r>
      <w:r w:rsidR="000A54CC" w:rsidRPr="009D0719">
        <w:rPr>
          <w:color w:val="000000" w:themeColor="text1"/>
        </w:rPr>
        <w:t xml:space="preserve">a désinstitutionalisation est un processus </w:t>
      </w:r>
      <w:r w:rsidR="009E1622" w:rsidRPr="009D0719">
        <w:rPr>
          <w:color w:val="000000" w:themeColor="text1"/>
        </w:rPr>
        <w:t xml:space="preserve">dont la </w:t>
      </w:r>
      <w:r w:rsidR="000A54CC" w:rsidRPr="009D0719">
        <w:rPr>
          <w:color w:val="000000" w:themeColor="text1"/>
        </w:rPr>
        <w:t xml:space="preserve">finalité </w:t>
      </w:r>
      <w:r w:rsidR="009E1622" w:rsidRPr="009D0719">
        <w:rPr>
          <w:color w:val="000000" w:themeColor="text1"/>
        </w:rPr>
        <w:t xml:space="preserve">est </w:t>
      </w:r>
      <w:r w:rsidR="000A54CC" w:rsidRPr="009D0719">
        <w:rPr>
          <w:color w:val="000000" w:themeColor="text1"/>
        </w:rPr>
        <w:t>la participation de</w:t>
      </w:r>
      <w:r w:rsidR="00B47548" w:rsidRPr="009D0719">
        <w:rPr>
          <w:color w:val="000000" w:themeColor="text1"/>
        </w:rPr>
        <w:t xml:space="preserve"> chaque individu </w:t>
      </w:r>
      <w:r w:rsidR="000A54CC" w:rsidRPr="009D0719">
        <w:rPr>
          <w:color w:val="000000" w:themeColor="text1"/>
        </w:rPr>
        <w:t>à la vie de la société à égalité avec les autres</w:t>
      </w:r>
      <w:r w:rsidR="009E1622" w:rsidRPr="009D0719">
        <w:rPr>
          <w:color w:val="000000" w:themeColor="text1"/>
        </w:rPr>
        <w:t xml:space="preserve"> </w:t>
      </w:r>
      <w:r w:rsidR="00CC3AB4" w:rsidRPr="009D0719">
        <w:rPr>
          <w:color w:val="000000" w:themeColor="text1"/>
        </w:rPr>
        <w:t>(Bernard, 2020</w:t>
      </w:r>
      <w:r w:rsidR="00A44CF8" w:rsidRPr="009D0719">
        <w:rPr>
          <w:color w:val="000000" w:themeColor="text1"/>
        </w:rPr>
        <w:t xml:space="preserve"> ; </w:t>
      </w:r>
      <w:proofErr w:type="spellStart"/>
      <w:r w:rsidR="00A44CF8" w:rsidRPr="009D0719">
        <w:rPr>
          <w:color w:val="000000" w:themeColor="text1"/>
        </w:rPr>
        <w:t>Fiala-Butora</w:t>
      </w:r>
      <w:proofErr w:type="spellEnd"/>
      <w:r w:rsidR="00A44CF8" w:rsidRPr="009D0719">
        <w:rPr>
          <w:color w:val="000000" w:themeColor="text1"/>
        </w:rPr>
        <w:t xml:space="preserve"> </w:t>
      </w:r>
      <w:r w:rsidR="00A44CF8" w:rsidRPr="009D0719">
        <w:rPr>
          <w:i/>
          <w:color w:val="000000" w:themeColor="text1"/>
        </w:rPr>
        <w:t>et al</w:t>
      </w:r>
      <w:r w:rsidR="00A44CF8" w:rsidRPr="009D0719">
        <w:rPr>
          <w:color w:val="000000" w:themeColor="text1"/>
        </w:rPr>
        <w:t xml:space="preserve">., 2018 ; </w:t>
      </w:r>
      <w:proofErr w:type="spellStart"/>
      <w:r w:rsidR="00A44CF8" w:rsidRPr="009D0719">
        <w:rPr>
          <w:color w:val="000000" w:themeColor="text1"/>
        </w:rPr>
        <w:t>Palmisano</w:t>
      </w:r>
      <w:proofErr w:type="spellEnd"/>
      <w:r w:rsidR="00A44CF8" w:rsidRPr="009D0719">
        <w:rPr>
          <w:color w:val="000000" w:themeColor="text1"/>
        </w:rPr>
        <w:t>, 2017).</w:t>
      </w:r>
      <w:r w:rsidR="000A54CC" w:rsidRPr="009D0719">
        <w:rPr>
          <w:color w:val="000000" w:themeColor="text1"/>
        </w:rPr>
        <w:t xml:space="preserve"> </w:t>
      </w:r>
      <w:r w:rsidR="008A39CE" w:rsidRPr="009D0719">
        <w:rPr>
          <w:color w:val="000000" w:themeColor="text1"/>
        </w:rPr>
        <w:t>La CDPH</w:t>
      </w:r>
      <w:r w:rsidR="00344A34" w:rsidRPr="009D0719">
        <w:rPr>
          <w:color w:val="000000" w:themeColor="text1"/>
        </w:rPr>
        <w:t xml:space="preserve"> stipule </w:t>
      </w:r>
      <w:r w:rsidR="000A54CC" w:rsidRPr="009D0719">
        <w:rPr>
          <w:color w:val="000000" w:themeColor="text1"/>
        </w:rPr>
        <w:t>le droit pour la personne handicapée de vivre</w:t>
      </w:r>
      <w:r w:rsidR="0082555C" w:rsidRPr="009D0719">
        <w:rPr>
          <w:color w:val="000000" w:themeColor="text1"/>
        </w:rPr>
        <w:t xml:space="preserve"> </w:t>
      </w:r>
      <w:r w:rsidR="000A54CC" w:rsidRPr="009D0719">
        <w:rPr>
          <w:color w:val="000000" w:themeColor="text1"/>
        </w:rPr>
        <w:t>là où elle s’estime</w:t>
      </w:r>
      <w:r w:rsidR="00147E67" w:rsidRPr="009D0719">
        <w:rPr>
          <w:color w:val="000000" w:themeColor="text1"/>
        </w:rPr>
        <w:t xml:space="preserve"> le mieux</w:t>
      </w:r>
      <w:r w:rsidR="000A54CC" w:rsidRPr="009D0719">
        <w:rPr>
          <w:color w:val="000000" w:themeColor="text1"/>
        </w:rPr>
        <w:t xml:space="preserve"> à même de s’épanouir, moyennant un accompagnement</w:t>
      </w:r>
      <w:r w:rsidR="0094408D" w:rsidRPr="009D0719">
        <w:rPr>
          <w:color w:val="000000" w:themeColor="text1"/>
        </w:rPr>
        <w:t xml:space="preserve"> individuel</w:t>
      </w:r>
      <w:r w:rsidR="000A54CC" w:rsidRPr="009D0719">
        <w:rPr>
          <w:color w:val="000000" w:themeColor="text1"/>
        </w:rPr>
        <w:t xml:space="preserve"> </w:t>
      </w:r>
      <w:r w:rsidR="0094408D" w:rsidRPr="009D0719">
        <w:rPr>
          <w:color w:val="000000" w:themeColor="text1"/>
        </w:rPr>
        <w:t xml:space="preserve">pertinent </w:t>
      </w:r>
      <w:r w:rsidR="00EA0F83" w:rsidRPr="009D0719">
        <w:rPr>
          <w:color w:val="000000" w:themeColor="text1"/>
        </w:rPr>
        <w:t xml:space="preserve">et </w:t>
      </w:r>
      <w:r w:rsidR="000A54CC" w:rsidRPr="009D0719">
        <w:rPr>
          <w:color w:val="000000" w:themeColor="text1"/>
        </w:rPr>
        <w:t xml:space="preserve">des transformations </w:t>
      </w:r>
      <w:r w:rsidR="0094408D" w:rsidRPr="009D0719">
        <w:rPr>
          <w:color w:val="000000" w:themeColor="text1"/>
        </w:rPr>
        <w:t>appropriées</w:t>
      </w:r>
      <w:r w:rsidR="000A54CC" w:rsidRPr="009D0719">
        <w:rPr>
          <w:color w:val="000000" w:themeColor="text1"/>
        </w:rPr>
        <w:t xml:space="preserve"> du cadre général de vie</w:t>
      </w:r>
      <w:r w:rsidR="00EA0F83" w:rsidRPr="009D0719">
        <w:rPr>
          <w:color w:val="000000" w:themeColor="text1"/>
        </w:rPr>
        <w:t>, dont le logement</w:t>
      </w:r>
      <w:r w:rsidR="000A54CC" w:rsidRPr="009D0719">
        <w:rPr>
          <w:color w:val="000000" w:themeColor="text1"/>
        </w:rPr>
        <w:t xml:space="preserve"> (</w:t>
      </w:r>
      <w:r w:rsidR="00344A34" w:rsidRPr="009D0719">
        <w:rPr>
          <w:color w:val="000000" w:themeColor="text1"/>
        </w:rPr>
        <w:t>art. 19 combiné à l’article 28, §1 de la CDPH</w:t>
      </w:r>
      <w:r w:rsidR="000A54CC" w:rsidRPr="009D0719">
        <w:rPr>
          <w:color w:val="000000" w:themeColor="text1"/>
        </w:rPr>
        <w:t>).</w:t>
      </w:r>
      <w:r w:rsidR="0082555C" w:rsidRPr="009D0719">
        <w:rPr>
          <w:color w:val="000000" w:themeColor="text1"/>
        </w:rPr>
        <w:t xml:space="preserve"> </w:t>
      </w:r>
      <w:r w:rsidR="008A39CE" w:rsidRPr="009D0719">
        <w:rPr>
          <w:color w:val="000000" w:themeColor="text1"/>
        </w:rPr>
        <w:t>Cet instrument</w:t>
      </w:r>
      <w:r w:rsidR="0082555C" w:rsidRPr="009D0719">
        <w:rPr>
          <w:color w:val="000000" w:themeColor="text1"/>
        </w:rPr>
        <w:t xml:space="preserve"> </w:t>
      </w:r>
      <w:r w:rsidR="00EA0F83" w:rsidRPr="009D0719">
        <w:rPr>
          <w:color w:val="000000" w:themeColor="text1"/>
        </w:rPr>
        <w:t>reconnait</w:t>
      </w:r>
      <w:r w:rsidR="0082555C" w:rsidRPr="009D0719">
        <w:rPr>
          <w:color w:val="000000" w:themeColor="text1"/>
        </w:rPr>
        <w:t xml:space="preserve"> donc le droit de vivre</w:t>
      </w:r>
      <w:r w:rsidR="00971E02" w:rsidRPr="009D0719">
        <w:rPr>
          <w:color w:val="000000" w:themeColor="text1"/>
        </w:rPr>
        <w:t xml:space="preserve"> chez soi</w:t>
      </w:r>
      <w:r w:rsidR="0082555C" w:rsidRPr="009D0719">
        <w:rPr>
          <w:color w:val="000000" w:themeColor="text1"/>
        </w:rPr>
        <w:t xml:space="preserve"> de manière autonome dans une société inclusive (Obs. </w:t>
      </w:r>
      <w:proofErr w:type="spellStart"/>
      <w:r w:rsidR="0082555C" w:rsidRPr="009D0719">
        <w:rPr>
          <w:color w:val="000000" w:themeColor="text1"/>
        </w:rPr>
        <w:t>gén</w:t>
      </w:r>
      <w:proofErr w:type="spellEnd"/>
      <w:r w:rsidR="0082555C" w:rsidRPr="009D0719">
        <w:rPr>
          <w:color w:val="000000" w:themeColor="text1"/>
        </w:rPr>
        <w:t>. n° 5).</w:t>
      </w:r>
      <w:r w:rsidR="00AA4E7C" w:rsidRPr="009D0719">
        <w:rPr>
          <w:color w:val="000000" w:themeColor="text1"/>
        </w:rPr>
        <w:t xml:space="preserve"> </w:t>
      </w:r>
      <w:r w:rsidR="00971E02" w:rsidRPr="009D0719">
        <w:rPr>
          <w:color w:val="000000" w:themeColor="text1"/>
        </w:rPr>
        <w:t>Sans êtr</w:t>
      </w:r>
      <w:r w:rsidR="00B47548" w:rsidRPr="009D0719">
        <w:rPr>
          <w:color w:val="000000" w:themeColor="text1"/>
        </w:rPr>
        <w:t>e</w:t>
      </w:r>
      <w:r w:rsidR="00971E02" w:rsidRPr="009D0719">
        <w:rPr>
          <w:color w:val="000000" w:themeColor="text1"/>
        </w:rPr>
        <w:t xml:space="preserve"> absolu, le choix </w:t>
      </w:r>
      <w:r w:rsidR="00EA0F83" w:rsidRPr="009D0719">
        <w:rPr>
          <w:color w:val="000000" w:themeColor="text1"/>
        </w:rPr>
        <w:t xml:space="preserve">de la personne handicapée </w:t>
      </w:r>
      <w:r w:rsidR="00971E02" w:rsidRPr="009D0719">
        <w:rPr>
          <w:color w:val="000000" w:themeColor="text1"/>
        </w:rPr>
        <w:t>prévaut, nonobstant les coûts</w:t>
      </w:r>
      <w:r w:rsidR="00147E67" w:rsidRPr="009D0719">
        <w:rPr>
          <w:color w:val="000000" w:themeColor="text1"/>
        </w:rPr>
        <w:t>,</w:t>
      </w:r>
      <w:r w:rsidR="00971E02" w:rsidRPr="009D0719">
        <w:rPr>
          <w:color w:val="000000" w:themeColor="text1"/>
        </w:rPr>
        <w:t xml:space="preserve"> parfois élevés, pour la collectivité (</w:t>
      </w:r>
      <w:r w:rsidR="00971E02" w:rsidRPr="009D0719">
        <w:rPr>
          <w:i/>
          <w:color w:val="000000" w:themeColor="text1"/>
        </w:rPr>
        <w:t>H.M</w:t>
      </w:r>
      <w:r w:rsidR="00971E02" w:rsidRPr="009D0719">
        <w:rPr>
          <w:color w:val="000000" w:themeColor="text1"/>
        </w:rPr>
        <w:t>. contre Suède).</w:t>
      </w:r>
      <w:r w:rsidR="00E52E0A" w:rsidRPr="009D0719">
        <w:rPr>
          <w:color w:val="000000" w:themeColor="text1"/>
        </w:rPr>
        <w:t xml:space="preserve"> </w:t>
      </w:r>
    </w:p>
    <w:p w14:paraId="3EFAD917" w14:textId="77777777" w:rsidR="0094408D" w:rsidRPr="009D0719" w:rsidRDefault="0094408D">
      <w:pPr>
        <w:rPr>
          <w:color w:val="000000" w:themeColor="text1"/>
        </w:rPr>
      </w:pPr>
    </w:p>
    <w:p w14:paraId="386728FD" w14:textId="03FDB57A" w:rsidR="00F5680E" w:rsidRPr="009D0719" w:rsidRDefault="00E70946" w:rsidP="00DA1A90">
      <w:pPr>
        <w:jc w:val="both"/>
        <w:rPr>
          <w:color w:val="000000" w:themeColor="text1"/>
        </w:rPr>
      </w:pPr>
      <w:r w:rsidRPr="009D0719">
        <w:rPr>
          <w:color w:val="000000" w:themeColor="text1"/>
        </w:rPr>
        <w:t xml:space="preserve">En parallèle de </w:t>
      </w:r>
      <w:r w:rsidR="007E5042" w:rsidRPr="009D0719">
        <w:rPr>
          <w:color w:val="000000" w:themeColor="text1"/>
        </w:rPr>
        <w:t xml:space="preserve">ce mouvement, </w:t>
      </w:r>
      <w:r w:rsidR="00CB6D9F" w:rsidRPr="009D0719">
        <w:rPr>
          <w:color w:val="000000" w:themeColor="text1"/>
        </w:rPr>
        <w:t xml:space="preserve">se développe une politique de numérisation importante </w:t>
      </w:r>
      <w:r w:rsidR="009F709A" w:rsidRPr="009D0719">
        <w:rPr>
          <w:color w:val="000000" w:themeColor="text1"/>
        </w:rPr>
        <w:t xml:space="preserve">dans tous les domaines de la société, </w:t>
      </w:r>
      <w:r w:rsidR="00A00822" w:rsidRPr="009D0719">
        <w:rPr>
          <w:color w:val="000000" w:themeColor="text1"/>
        </w:rPr>
        <w:t xml:space="preserve">dont </w:t>
      </w:r>
      <w:r w:rsidR="009F709A" w:rsidRPr="009D0719">
        <w:rPr>
          <w:color w:val="000000" w:themeColor="text1"/>
        </w:rPr>
        <w:t>l’habitat.</w:t>
      </w:r>
      <w:r w:rsidR="00A00822" w:rsidRPr="009D0719">
        <w:rPr>
          <w:color w:val="000000" w:themeColor="text1"/>
        </w:rPr>
        <w:t xml:space="preserve"> L</w:t>
      </w:r>
      <w:r w:rsidRPr="009D0719">
        <w:rPr>
          <w:color w:val="000000" w:themeColor="text1"/>
        </w:rPr>
        <w:t xml:space="preserve">’internet des objets et les évolutions rapides </w:t>
      </w:r>
      <w:r w:rsidR="001E29BF" w:rsidRPr="009D0719">
        <w:rPr>
          <w:color w:val="000000" w:themeColor="text1"/>
        </w:rPr>
        <w:t>des</w:t>
      </w:r>
      <w:r w:rsidRPr="009D0719">
        <w:rPr>
          <w:color w:val="000000" w:themeColor="text1"/>
        </w:rPr>
        <w:t xml:space="preserve"> nouvelles technologies de l’information et de la communication</w:t>
      </w:r>
      <w:r w:rsidR="00CC3AB4" w:rsidRPr="009D0719">
        <w:rPr>
          <w:color w:val="000000" w:themeColor="text1"/>
        </w:rPr>
        <w:t xml:space="preserve"> (ci-après les NTIC)</w:t>
      </w:r>
      <w:r w:rsidRPr="009D0719">
        <w:rPr>
          <w:color w:val="000000" w:themeColor="text1"/>
        </w:rPr>
        <w:t xml:space="preserve"> tend</w:t>
      </w:r>
      <w:r w:rsidR="00504291" w:rsidRPr="009D0719">
        <w:rPr>
          <w:color w:val="000000" w:themeColor="text1"/>
        </w:rPr>
        <w:t>ent</w:t>
      </w:r>
      <w:r w:rsidRPr="009D0719">
        <w:rPr>
          <w:color w:val="000000" w:themeColor="text1"/>
        </w:rPr>
        <w:t xml:space="preserve"> à s’accroître dans notre quotidien, tandis que la fracture numérique s’a</w:t>
      </w:r>
      <w:r w:rsidR="007E5042" w:rsidRPr="009D0719">
        <w:rPr>
          <w:color w:val="000000" w:themeColor="text1"/>
        </w:rPr>
        <w:t>ccentue</w:t>
      </w:r>
      <w:r w:rsidR="00504291" w:rsidRPr="009D0719">
        <w:rPr>
          <w:color w:val="000000" w:themeColor="text1"/>
        </w:rPr>
        <w:t xml:space="preserve">, notamment au détriment des </w:t>
      </w:r>
      <w:r w:rsidR="000454A8" w:rsidRPr="009D0719">
        <w:rPr>
          <w:color w:val="000000" w:themeColor="text1"/>
        </w:rPr>
        <w:t>publics fragilisés</w:t>
      </w:r>
      <w:r w:rsidR="00957C25" w:rsidRPr="009D0719">
        <w:rPr>
          <w:color w:val="000000" w:themeColor="text1"/>
        </w:rPr>
        <w:t xml:space="preserve">, </w:t>
      </w:r>
      <w:r w:rsidR="00A00822" w:rsidRPr="009D0719">
        <w:rPr>
          <w:color w:val="000000" w:themeColor="text1"/>
        </w:rPr>
        <w:t>comme</w:t>
      </w:r>
      <w:r w:rsidR="006908F1" w:rsidRPr="009D0719">
        <w:rPr>
          <w:color w:val="000000" w:themeColor="text1"/>
        </w:rPr>
        <w:t xml:space="preserve"> les </w:t>
      </w:r>
      <w:r w:rsidR="00504291" w:rsidRPr="009D0719">
        <w:rPr>
          <w:color w:val="000000" w:themeColor="text1"/>
        </w:rPr>
        <w:t>personnes handicapées (</w:t>
      </w:r>
      <w:proofErr w:type="spellStart"/>
      <w:r w:rsidR="00CC4C52" w:rsidRPr="009D0719">
        <w:rPr>
          <w:color w:val="000000" w:themeColor="text1"/>
        </w:rPr>
        <w:t>Balin</w:t>
      </w:r>
      <w:proofErr w:type="spellEnd"/>
      <w:r w:rsidR="00CC4C52" w:rsidRPr="009D0719">
        <w:rPr>
          <w:color w:val="000000" w:themeColor="text1"/>
        </w:rPr>
        <w:t xml:space="preserve"> &amp; Gossart, 2015</w:t>
      </w:r>
      <w:r w:rsidR="00504291" w:rsidRPr="009D0719">
        <w:rPr>
          <w:color w:val="000000" w:themeColor="text1"/>
        </w:rPr>
        <w:t>)</w:t>
      </w:r>
      <w:r w:rsidRPr="009D0719">
        <w:rPr>
          <w:color w:val="000000" w:themeColor="text1"/>
        </w:rPr>
        <w:t>.</w:t>
      </w:r>
      <w:r w:rsidR="00A00822" w:rsidRPr="009D0719">
        <w:rPr>
          <w:color w:val="000000" w:themeColor="text1"/>
        </w:rPr>
        <w:t xml:space="preserve"> C</w:t>
      </w:r>
      <w:r w:rsidR="00F5680E" w:rsidRPr="009D0719">
        <w:rPr>
          <w:color w:val="000000" w:themeColor="text1"/>
        </w:rPr>
        <w:t xml:space="preserve">es évolutions </w:t>
      </w:r>
      <w:r w:rsidR="00DF0DF8" w:rsidRPr="009D0719">
        <w:rPr>
          <w:color w:val="000000" w:themeColor="text1"/>
        </w:rPr>
        <w:t>de plus en plus complexes</w:t>
      </w:r>
      <w:r w:rsidR="001260B5" w:rsidRPr="009D0719">
        <w:rPr>
          <w:color w:val="000000" w:themeColor="text1"/>
        </w:rPr>
        <w:t xml:space="preserve">, </w:t>
      </w:r>
      <w:r w:rsidR="00F5680E" w:rsidRPr="009D0719">
        <w:rPr>
          <w:color w:val="000000" w:themeColor="text1"/>
        </w:rPr>
        <w:t>décidées par les autorités</w:t>
      </w:r>
      <w:r w:rsidR="000A54CC" w:rsidRPr="009D0719">
        <w:rPr>
          <w:color w:val="000000" w:themeColor="text1"/>
        </w:rPr>
        <w:t xml:space="preserve"> p</w:t>
      </w:r>
      <w:r w:rsidR="00B43D1E" w:rsidRPr="009D0719">
        <w:rPr>
          <w:color w:val="000000" w:themeColor="text1"/>
        </w:rPr>
        <w:t>ubliques</w:t>
      </w:r>
      <w:r w:rsidR="001260B5" w:rsidRPr="009D0719">
        <w:rPr>
          <w:color w:val="000000" w:themeColor="text1"/>
        </w:rPr>
        <w:t xml:space="preserve"> et développées en laboratoires, ne prennent pas nécessairement en compte l</w:t>
      </w:r>
      <w:r w:rsidR="00231E53" w:rsidRPr="009D0719">
        <w:rPr>
          <w:color w:val="000000" w:themeColor="text1"/>
        </w:rPr>
        <w:t>’expérience vécue</w:t>
      </w:r>
      <w:r w:rsidR="001260B5" w:rsidRPr="009D0719">
        <w:rPr>
          <w:color w:val="000000" w:themeColor="text1"/>
        </w:rPr>
        <w:t xml:space="preserve"> </w:t>
      </w:r>
      <w:r w:rsidR="00231E53" w:rsidRPr="009D0719">
        <w:rPr>
          <w:color w:val="000000" w:themeColor="text1"/>
        </w:rPr>
        <w:t xml:space="preserve">des </w:t>
      </w:r>
      <w:r w:rsidR="00143D62" w:rsidRPr="009D0719">
        <w:rPr>
          <w:color w:val="000000" w:themeColor="text1"/>
        </w:rPr>
        <w:t>usagers finaux (</w:t>
      </w:r>
      <w:proofErr w:type="spellStart"/>
      <w:r w:rsidR="00143D62" w:rsidRPr="009D0719">
        <w:rPr>
          <w:color w:val="000000" w:themeColor="text1"/>
        </w:rPr>
        <w:t>Zélem</w:t>
      </w:r>
      <w:proofErr w:type="spellEnd"/>
      <w:r w:rsidR="00143D62" w:rsidRPr="009D0719">
        <w:rPr>
          <w:color w:val="000000" w:themeColor="text1"/>
        </w:rPr>
        <w:t>, 2018)</w:t>
      </w:r>
      <w:r w:rsidR="007E5042" w:rsidRPr="009D0719">
        <w:rPr>
          <w:color w:val="000000" w:themeColor="text1"/>
        </w:rPr>
        <w:t>.</w:t>
      </w:r>
      <w:r w:rsidR="00DF0DF8" w:rsidRPr="009D0719">
        <w:rPr>
          <w:color w:val="000000" w:themeColor="text1"/>
        </w:rPr>
        <w:t xml:space="preserve"> </w:t>
      </w:r>
      <w:r w:rsidR="0038476C" w:rsidRPr="009D0719">
        <w:rPr>
          <w:color w:val="000000" w:themeColor="text1"/>
        </w:rPr>
        <w:t xml:space="preserve">En </w:t>
      </w:r>
      <w:r w:rsidR="00F5680E" w:rsidRPr="009D0719">
        <w:rPr>
          <w:color w:val="000000" w:themeColor="text1"/>
        </w:rPr>
        <w:t>Région wallonne</w:t>
      </w:r>
      <w:r w:rsidR="000A54CC" w:rsidRPr="009D0719">
        <w:rPr>
          <w:color w:val="000000" w:themeColor="text1"/>
        </w:rPr>
        <w:t xml:space="preserve"> (</w:t>
      </w:r>
      <w:r w:rsidR="008608E7" w:rsidRPr="009D0719">
        <w:rPr>
          <w:color w:val="000000" w:themeColor="text1"/>
        </w:rPr>
        <w:t xml:space="preserve">Décret </w:t>
      </w:r>
      <w:r w:rsidR="00BE6312" w:rsidRPr="009D0719">
        <w:rPr>
          <w:color w:val="000000" w:themeColor="text1"/>
        </w:rPr>
        <w:t>du 19 juillet 2018</w:t>
      </w:r>
      <w:r w:rsidR="000A54CC" w:rsidRPr="009D0719">
        <w:rPr>
          <w:color w:val="000000" w:themeColor="text1"/>
        </w:rPr>
        <w:t xml:space="preserve">), sous l’impulsion d’une directive européenne </w:t>
      </w:r>
      <w:r w:rsidR="00EF1B93" w:rsidRPr="009D0719">
        <w:rPr>
          <w:color w:val="000000" w:themeColor="text1"/>
        </w:rPr>
        <w:t>(</w:t>
      </w:r>
      <w:proofErr w:type="spellStart"/>
      <w:r w:rsidR="008608E7" w:rsidRPr="009D0719">
        <w:rPr>
          <w:color w:val="000000" w:themeColor="text1"/>
        </w:rPr>
        <w:t>Dir</w:t>
      </w:r>
      <w:proofErr w:type="spellEnd"/>
      <w:r w:rsidR="008608E7" w:rsidRPr="009D0719">
        <w:rPr>
          <w:color w:val="000000" w:themeColor="text1"/>
        </w:rPr>
        <w:t xml:space="preserve">. </w:t>
      </w:r>
      <w:r w:rsidR="00EF1B93" w:rsidRPr="009D0719">
        <w:rPr>
          <w:rStyle w:val="normaltextrun"/>
          <w:color w:val="000000" w:themeColor="text1"/>
          <w:bdr w:val="none" w:sz="0" w:space="0" w:color="auto" w:frame="1"/>
        </w:rPr>
        <w:t>2009/72/CE</w:t>
      </w:r>
      <w:r w:rsidR="000A54CC" w:rsidRPr="009D0719">
        <w:rPr>
          <w:color w:val="000000" w:themeColor="text1"/>
        </w:rPr>
        <w:t xml:space="preserve">), </w:t>
      </w:r>
      <w:r w:rsidR="00012286" w:rsidRPr="009D0719">
        <w:rPr>
          <w:color w:val="000000" w:themeColor="text1"/>
        </w:rPr>
        <w:t xml:space="preserve">le déploiement généralisé </w:t>
      </w:r>
      <w:r w:rsidR="00F5680E" w:rsidRPr="009D0719">
        <w:rPr>
          <w:color w:val="000000" w:themeColor="text1"/>
        </w:rPr>
        <w:t>des compteurs</w:t>
      </w:r>
      <w:r w:rsidR="00833F23" w:rsidRPr="009D0719">
        <w:rPr>
          <w:color w:val="000000" w:themeColor="text1"/>
        </w:rPr>
        <w:t xml:space="preserve"> dits « intelligents »</w:t>
      </w:r>
      <w:r w:rsidR="007477EF" w:rsidRPr="009D0719">
        <w:rPr>
          <w:rStyle w:val="Appelnotedebasdep"/>
          <w:color w:val="000000" w:themeColor="text1"/>
        </w:rPr>
        <w:footnoteReference w:id="1"/>
      </w:r>
      <w:r w:rsidR="004A362D" w:rsidRPr="009D0719">
        <w:rPr>
          <w:color w:val="000000" w:themeColor="text1"/>
        </w:rPr>
        <w:t xml:space="preserve"> </w:t>
      </w:r>
      <w:r w:rsidR="00BE6312" w:rsidRPr="009D0719">
        <w:rPr>
          <w:color w:val="000000" w:themeColor="text1"/>
        </w:rPr>
        <w:t>c</w:t>
      </w:r>
      <w:r w:rsidR="00012286" w:rsidRPr="009D0719">
        <w:rPr>
          <w:color w:val="000000" w:themeColor="text1"/>
        </w:rPr>
        <w:t xml:space="preserve">onstitue une bonne illustration de </w:t>
      </w:r>
      <w:r w:rsidR="00B9746E" w:rsidRPr="009D0719">
        <w:rPr>
          <w:color w:val="000000" w:themeColor="text1"/>
        </w:rPr>
        <w:t>cette problématique</w:t>
      </w:r>
      <w:r w:rsidR="004A362D" w:rsidRPr="009D0719">
        <w:rPr>
          <w:color w:val="000000" w:themeColor="text1"/>
        </w:rPr>
        <w:t xml:space="preserve"> car </w:t>
      </w:r>
      <w:r w:rsidR="00BE6312" w:rsidRPr="009D0719">
        <w:rPr>
          <w:color w:val="000000" w:themeColor="text1"/>
        </w:rPr>
        <w:t xml:space="preserve">l’utilisation </w:t>
      </w:r>
      <w:r w:rsidR="00963060" w:rsidRPr="009D0719">
        <w:rPr>
          <w:color w:val="000000" w:themeColor="text1"/>
        </w:rPr>
        <w:t>optimale</w:t>
      </w:r>
      <w:r w:rsidR="00BE6312" w:rsidRPr="009D0719">
        <w:rPr>
          <w:color w:val="000000" w:themeColor="text1"/>
        </w:rPr>
        <w:t xml:space="preserve"> de ces nouvelles technologies </w:t>
      </w:r>
      <w:r w:rsidR="001F791C" w:rsidRPr="0069302F">
        <w:rPr>
          <w:color w:val="000000" w:themeColor="text1"/>
        </w:rPr>
        <w:t>exige</w:t>
      </w:r>
      <w:r w:rsidR="00083ACC" w:rsidRPr="0069302F">
        <w:rPr>
          <w:color w:val="000000" w:themeColor="text1"/>
        </w:rPr>
        <w:t> </w:t>
      </w:r>
      <w:r w:rsidR="0069302F" w:rsidRPr="0069302F">
        <w:rPr>
          <w:color w:val="000000" w:themeColor="text1"/>
        </w:rPr>
        <w:t>un</w:t>
      </w:r>
      <w:r w:rsidR="00083ACC" w:rsidRPr="0069302F">
        <w:rPr>
          <w:color w:val="000000" w:themeColor="text1"/>
        </w:rPr>
        <w:t xml:space="preserve"> équ</w:t>
      </w:r>
      <w:r w:rsidR="009165E8" w:rsidRPr="0069302F">
        <w:rPr>
          <w:color w:val="000000" w:themeColor="text1"/>
        </w:rPr>
        <w:t>ip</w:t>
      </w:r>
      <w:r w:rsidR="0069302F" w:rsidRPr="0069302F">
        <w:rPr>
          <w:color w:val="000000" w:themeColor="text1"/>
        </w:rPr>
        <w:t xml:space="preserve">ement </w:t>
      </w:r>
      <w:bookmarkStart w:id="0" w:name="_GoBack"/>
      <w:bookmarkEnd w:id="0"/>
      <w:r w:rsidR="009165E8" w:rsidRPr="009D0719">
        <w:rPr>
          <w:color w:val="000000" w:themeColor="text1"/>
        </w:rPr>
        <w:t xml:space="preserve">numérique. </w:t>
      </w:r>
      <w:r w:rsidR="00186F59" w:rsidRPr="009D0719">
        <w:rPr>
          <w:color w:val="000000" w:themeColor="text1"/>
        </w:rPr>
        <w:t>En outre</w:t>
      </w:r>
      <w:r w:rsidR="00EA5243" w:rsidRPr="009D0719">
        <w:rPr>
          <w:color w:val="000000" w:themeColor="text1"/>
        </w:rPr>
        <w:t>,</w:t>
      </w:r>
      <w:r w:rsidR="00790271" w:rsidRPr="009D0719">
        <w:rPr>
          <w:color w:val="000000" w:themeColor="text1"/>
        </w:rPr>
        <w:t xml:space="preserve"> </w:t>
      </w:r>
      <w:r w:rsidR="00EA5243" w:rsidRPr="009D0719">
        <w:rPr>
          <w:color w:val="000000" w:themeColor="text1"/>
        </w:rPr>
        <w:t xml:space="preserve">leur utilisation nécessite des compétences numériques </w:t>
      </w:r>
      <w:r w:rsidR="00EA5243" w:rsidRPr="009D0719">
        <w:rPr>
          <w:color w:val="000000" w:themeColor="text1"/>
        </w:rPr>
        <w:t>qui dépende</w:t>
      </w:r>
      <w:r w:rsidR="00126729" w:rsidRPr="009D0719">
        <w:rPr>
          <w:color w:val="000000" w:themeColor="text1"/>
        </w:rPr>
        <w:t>nt</w:t>
      </w:r>
      <w:r w:rsidR="00EA5243" w:rsidRPr="009D0719">
        <w:rPr>
          <w:color w:val="000000" w:themeColor="text1"/>
        </w:rPr>
        <w:t xml:space="preserve"> de nombreux </w:t>
      </w:r>
      <w:r w:rsidR="00EA5243" w:rsidRPr="009D0719">
        <w:rPr>
          <w:color w:val="000000" w:themeColor="text1"/>
        </w:rPr>
        <w:t xml:space="preserve">facteurs </w:t>
      </w:r>
      <w:r w:rsidR="00EA5243" w:rsidRPr="009D0719">
        <w:rPr>
          <w:color w:val="000000" w:themeColor="text1"/>
        </w:rPr>
        <w:t>sociodémographiques</w:t>
      </w:r>
      <w:r w:rsidR="000B5FC7" w:rsidRPr="009D0719">
        <w:rPr>
          <w:color w:val="000000" w:themeColor="text1"/>
        </w:rPr>
        <w:t xml:space="preserve"> tels que l’âge, le niveau de diplôme, </w:t>
      </w:r>
      <w:r w:rsidR="000B5FC7" w:rsidRPr="009D0719">
        <w:rPr>
          <w:i/>
          <w:iCs/>
          <w:color w:val="000000" w:themeColor="text1"/>
        </w:rPr>
        <w:t>etc.</w:t>
      </w:r>
      <w:r w:rsidR="00DA1A90" w:rsidRPr="009D0719">
        <w:rPr>
          <w:i/>
          <w:iCs/>
          <w:color w:val="000000" w:themeColor="text1"/>
        </w:rPr>
        <w:t xml:space="preserve"> </w:t>
      </w:r>
      <w:r w:rsidR="00DA1A90" w:rsidRPr="009D0719">
        <w:rPr>
          <w:iCs/>
          <w:color w:val="000000" w:themeColor="text1"/>
        </w:rPr>
        <w:t>(</w:t>
      </w:r>
      <w:proofErr w:type="spellStart"/>
      <w:r w:rsidR="00DA1A90" w:rsidRPr="009D0719">
        <w:rPr>
          <w:color w:val="000000" w:themeColor="text1"/>
        </w:rPr>
        <w:t>Brotcorne</w:t>
      </w:r>
      <w:proofErr w:type="spellEnd"/>
      <w:r w:rsidR="00DA1A90" w:rsidRPr="009D0719">
        <w:rPr>
          <w:color w:val="000000" w:themeColor="text1"/>
        </w:rPr>
        <w:t xml:space="preserve"> &amp; </w:t>
      </w:r>
      <w:proofErr w:type="spellStart"/>
      <w:r w:rsidR="00DA1A90" w:rsidRPr="009D0719">
        <w:rPr>
          <w:color w:val="000000" w:themeColor="text1"/>
        </w:rPr>
        <w:t>Mariën</w:t>
      </w:r>
      <w:proofErr w:type="spellEnd"/>
      <w:r w:rsidR="00DA1A90" w:rsidRPr="009D0719">
        <w:rPr>
          <w:color w:val="000000" w:themeColor="text1"/>
        </w:rPr>
        <w:t xml:space="preserve">, 2020). </w:t>
      </w:r>
      <w:r w:rsidR="000B5FC7" w:rsidRPr="009D0719">
        <w:rPr>
          <w:color w:val="000000" w:themeColor="text1"/>
        </w:rPr>
        <w:t>Ainsi, posséder ces appareils n</w:t>
      </w:r>
      <w:r w:rsidR="00126729" w:rsidRPr="009D0719">
        <w:rPr>
          <w:color w:val="000000" w:themeColor="text1"/>
        </w:rPr>
        <w:t>e</w:t>
      </w:r>
      <w:r w:rsidR="00407A12" w:rsidRPr="009D0719">
        <w:rPr>
          <w:color w:val="000000" w:themeColor="text1"/>
        </w:rPr>
        <w:t xml:space="preserve"> </w:t>
      </w:r>
      <w:r w:rsidR="000B5FC7" w:rsidRPr="009D0719">
        <w:rPr>
          <w:color w:val="000000" w:themeColor="text1"/>
        </w:rPr>
        <w:t>garant</w:t>
      </w:r>
      <w:r w:rsidR="00126729" w:rsidRPr="009D0719">
        <w:rPr>
          <w:color w:val="000000" w:themeColor="text1"/>
        </w:rPr>
        <w:t>it</w:t>
      </w:r>
      <w:r w:rsidR="000B5FC7" w:rsidRPr="009D0719">
        <w:rPr>
          <w:color w:val="000000" w:themeColor="text1"/>
        </w:rPr>
        <w:t xml:space="preserve"> pas leur utilisation </w:t>
      </w:r>
      <w:r w:rsidR="00963060" w:rsidRPr="009D0719">
        <w:rPr>
          <w:color w:val="000000" w:themeColor="text1"/>
        </w:rPr>
        <w:t>pleine et entière</w:t>
      </w:r>
      <w:r w:rsidR="000B5FC7" w:rsidRPr="009D0719">
        <w:rPr>
          <w:color w:val="000000" w:themeColor="text1"/>
        </w:rPr>
        <w:t xml:space="preserve"> (</w:t>
      </w:r>
      <w:proofErr w:type="spellStart"/>
      <w:r w:rsidR="000B5FC7" w:rsidRPr="009D0719">
        <w:rPr>
          <w:color w:val="000000" w:themeColor="text1"/>
        </w:rPr>
        <w:t>Ottaviani</w:t>
      </w:r>
      <w:proofErr w:type="spellEnd"/>
      <w:r w:rsidR="000B5FC7" w:rsidRPr="009D0719">
        <w:rPr>
          <w:color w:val="000000" w:themeColor="text1"/>
        </w:rPr>
        <w:t>, 2016)</w:t>
      </w:r>
      <w:r w:rsidR="00B43D1E" w:rsidRPr="009D0719">
        <w:rPr>
          <w:color w:val="000000" w:themeColor="text1"/>
        </w:rPr>
        <w:t> ;</w:t>
      </w:r>
      <w:r w:rsidR="000B5FC7" w:rsidRPr="009D0719">
        <w:rPr>
          <w:color w:val="000000" w:themeColor="text1"/>
        </w:rPr>
        <w:t xml:space="preserve"> </w:t>
      </w:r>
      <w:r w:rsidR="00B43D1E" w:rsidRPr="009D0719">
        <w:rPr>
          <w:color w:val="000000" w:themeColor="text1"/>
        </w:rPr>
        <w:t>d</w:t>
      </w:r>
      <w:r w:rsidR="00FC423E" w:rsidRPr="009D0719">
        <w:rPr>
          <w:color w:val="000000" w:themeColor="text1"/>
        </w:rPr>
        <w:t xml:space="preserve">ans le contexte du </w:t>
      </w:r>
      <w:r w:rsidR="0004183D" w:rsidRPr="009D0719">
        <w:rPr>
          <w:color w:val="000000" w:themeColor="text1"/>
        </w:rPr>
        <w:t xml:space="preserve">handicap, se pose </w:t>
      </w:r>
      <w:r w:rsidR="007E5042" w:rsidRPr="009D0719">
        <w:rPr>
          <w:color w:val="000000" w:themeColor="text1"/>
        </w:rPr>
        <w:t>aussi</w:t>
      </w:r>
      <w:r w:rsidR="0004183D" w:rsidRPr="009D0719">
        <w:rPr>
          <w:color w:val="000000" w:themeColor="text1"/>
        </w:rPr>
        <w:t xml:space="preserve"> la question d</w:t>
      </w:r>
      <w:r w:rsidR="00CE1B99" w:rsidRPr="009D0719">
        <w:rPr>
          <w:color w:val="000000" w:themeColor="text1"/>
        </w:rPr>
        <w:t xml:space="preserve">e </w:t>
      </w:r>
      <w:r w:rsidR="007E1C3C" w:rsidRPr="009D0719">
        <w:rPr>
          <w:color w:val="000000" w:themeColor="text1"/>
        </w:rPr>
        <w:t>l</w:t>
      </w:r>
      <w:r w:rsidR="00CE1B99" w:rsidRPr="009D0719">
        <w:rPr>
          <w:color w:val="000000" w:themeColor="text1"/>
        </w:rPr>
        <w:t>’a</w:t>
      </w:r>
      <w:r w:rsidR="0081348D" w:rsidRPr="009D0719">
        <w:rPr>
          <w:color w:val="000000" w:themeColor="text1"/>
        </w:rPr>
        <w:t>ccessibilité</w:t>
      </w:r>
      <w:r w:rsidR="00CE1B99" w:rsidRPr="009D0719">
        <w:rPr>
          <w:color w:val="000000" w:themeColor="text1"/>
        </w:rPr>
        <w:t xml:space="preserve"> </w:t>
      </w:r>
      <w:r w:rsidR="00BD03AE" w:rsidRPr="009D0719">
        <w:rPr>
          <w:color w:val="000000" w:themeColor="text1"/>
        </w:rPr>
        <w:t xml:space="preserve">des NTIC </w:t>
      </w:r>
      <w:r w:rsidR="00CE1B99" w:rsidRPr="009D0719">
        <w:rPr>
          <w:color w:val="000000" w:themeColor="text1"/>
        </w:rPr>
        <w:t>(</w:t>
      </w:r>
      <w:r w:rsidR="0081348D" w:rsidRPr="009D0719">
        <w:rPr>
          <w:color w:val="000000" w:themeColor="text1"/>
        </w:rPr>
        <w:t>Pinède, 2018</w:t>
      </w:r>
      <w:r w:rsidR="00CE1B99" w:rsidRPr="009D0719">
        <w:rPr>
          <w:color w:val="000000" w:themeColor="text1"/>
        </w:rPr>
        <w:t xml:space="preserve">). </w:t>
      </w:r>
    </w:p>
    <w:p w14:paraId="3B0B9AF7" w14:textId="77777777" w:rsidR="00FC423E" w:rsidRPr="009D0719" w:rsidRDefault="00FC423E" w:rsidP="0082555C">
      <w:pPr>
        <w:jc w:val="both"/>
        <w:rPr>
          <w:color w:val="000000" w:themeColor="text1"/>
        </w:rPr>
      </w:pPr>
    </w:p>
    <w:p w14:paraId="0D5686AB" w14:textId="179EE4CC" w:rsidR="001333B6" w:rsidRPr="009D0719" w:rsidRDefault="0066548F" w:rsidP="003F7B49">
      <w:pPr>
        <w:jc w:val="both"/>
        <w:rPr>
          <w:color w:val="000000" w:themeColor="text1"/>
          <w:lang w:val="fr-FR"/>
        </w:rPr>
      </w:pPr>
      <w:r w:rsidRPr="009D0719">
        <w:rPr>
          <w:color w:val="000000" w:themeColor="text1"/>
        </w:rPr>
        <w:t xml:space="preserve">Notre proposition </w:t>
      </w:r>
      <w:r w:rsidR="002335DC" w:rsidRPr="009D0719">
        <w:rPr>
          <w:color w:val="000000" w:themeColor="text1"/>
        </w:rPr>
        <w:t xml:space="preserve">interroge </w:t>
      </w:r>
      <w:r w:rsidRPr="009D0719">
        <w:rPr>
          <w:color w:val="000000" w:themeColor="text1"/>
        </w:rPr>
        <w:t>les tensions qui existent entre</w:t>
      </w:r>
      <w:r w:rsidR="00205107" w:rsidRPr="009D0719">
        <w:rPr>
          <w:color w:val="000000" w:themeColor="text1"/>
        </w:rPr>
        <w:t xml:space="preserve"> </w:t>
      </w:r>
      <w:r w:rsidRPr="009D0719">
        <w:rPr>
          <w:color w:val="000000" w:themeColor="text1"/>
        </w:rPr>
        <w:t xml:space="preserve">le droit des personnes handicapées </w:t>
      </w:r>
      <w:r w:rsidR="00231E53" w:rsidRPr="009D0719">
        <w:rPr>
          <w:color w:val="000000" w:themeColor="text1"/>
        </w:rPr>
        <w:t>à l’habita</w:t>
      </w:r>
      <w:r w:rsidR="00A00822" w:rsidRPr="009D0719">
        <w:rPr>
          <w:color w:val="000000" w:themeColor="text1"/>
        </w:rPr>
        <w:t>t</w:t>
      </w:r>
      <w:r w:rsidR="00231E53" w:rsidRPr="009D0719">
        <w:rPr>
          <w:color w:val="000000" w:themeColor="text1"/>
        </w:rPr>
        <w:t xml:space="preserve"> en </w:t>
      </w:r>
      <w:r w:rsidRPr="009D0719">
        <w:rPr>
          <w:color w:val="000000" w:themeColor="text1"/>
        </w:rPr>
        <w:t>autonomie et</w:t>
      </w:r>
      <w:r w:rsidR="00205107" w:rsidRPr="009D0719">
        <w:rPr>
          <w:color w:val="000000" w:themeColor="text1"/>
        </w:rPr>
        <w:t xml:space="preserve"> </w:t>
      </w:r>
      <w:r w:rsidRPr="009D0719">
        <w:rPr>
          <w:color w:val="000000" w:themeColor="text1"/>
        </w:rPr>
        <w:t xml:space="preserve">la numérisation toujours plus exigeante du quotidien. </w:t>
      </w:r>
      <w:r w:rsidR="00CC3AB4" w:rsidRPr="009D0719">
        <w:rPr>
          <w:color w:val="000000" w:themeColor="text1"/>
        </w:rPr>
        <w:t xml:space="preserve">D’une part, nous cherchons à savoir </w:t>
      </w:r>
      <w:r w:rsidR="00504291" w:rsidRPr="009D0719">
        <w:rPr>
          <w:color w:val="000000" w:themeColor="text1"/>
        </w:rPr>
        <w:t>dans quelle mesure les personnes handicapées</w:t>
      </w:r>
      <w:r w:rsidR="00CC3AB4" w:rsidRPr="009D0719">
        <w:rPr>
          <w:color w:val="000000" w:themeColor="text1"/>
        </w:rPr>
        <w:t>,</w:t>
      </w:r>
      <w:r w:rsidR="00504291" w:rsidRPr="009D0719">
        <w:rPr>
          <w:color w:val="000000" w:themeColor="text1"/>
        </w:rPr>
        <w:t xml:space="preserve"> qui </w:t>
      </w:r>
      <w:r w:rsidR="001E29BF" w:rsidRPr="009D0719">
        <w:rPr>
          <w:color w:val="000000" w:themeColor="text1"/>
        </w:rPr>
        <w:t>décident de vivre</w:t>
      </w:r>
      <w:r w:rsidR="00CC3AB4" w:rsidRPr="009D0719">
        <w:rPr>
          <w:color w:val="000000" w:themeColor="text1"/>
        </w:rPr>
        <w:t xml:space="preserve"> en dehors des institutions,</w:t>
      </w:r>
      <w:r w:rsidR="00504291" w:rsidRPr="009D0719">
        <w:rPr>
          <w:color w:val="000000" w:themeColor="text1"/>
        </w:rPr>
        <w:t xml:space="preserve"> sont confronté</w:t>
      </w:r>
      <w:r w:rsidR="00CC3AB4" w:rsidRPr="009D0719">
        <w:rPr>
          <w:color w:val="000000" w:themeColor="text1"/>
        </w:rPr>
        <w:t>e</w:t>
      </w:r>
      <w:r w:rsidR="00504291" w:rsidRPr="009D0719">
        <w:rPr>
          <w:color w:val="000000" w:themeColor="text1"/>
        </w:rPr>
        <w:t>s à la fracture numérique</w:t>
      </w:r>
      <w:r w:rsidR="00CC3AB4" w:rsidRPr="009D0719">
        <w:rPr>
          <w:color w:val="000000" w:themeColor="text1"/>
        </w:rPr>
        <w:t xml:space="preserve"> ; d’autre part, </w:t>
      </w:r>
      <w:r w:rsidR="00A44CF8" w:rsidRPr="009D0719">
        <w:rPr>
          <w:color w:val="000000" w:themeColor="text1"/>
        </w:rPr>
        <w:t xml:space="preserve">il s’agit de </w:t>
      </w:r>
      <w:r w:rsidR="007E5042" w:rsidRPr="009D0719">
        <w:rPr>
          <w:color w:val="000000" w:themeColor="text1"/>
        </w:rPr>
        <w:t>mettr</w:t>
      </w:r>
      <w:r w:rsidR="00A44CF8" w:rsidRPr="009D0719">
        <w:rPr>
          <w:color w:val="000000" w:themeColor="text1"/>
        </w:rPr>
        <w:t>e</w:t>
      </w:r>
      <w:r w:rsidR="007E5042" w:rsidRPr="009D0719">
        <w:rPr>
          <w:color w:val="000000" w:themeColor="text1"/>
        </w:rPr>
        <w:t xml:space="preserve"> en exergue des pistes de</w:t>
      </w:r>
      <w:r w:rsidR="00CC3AB4" w:rsidRPr="009D0719">
        <w:rPr>
          <w:color w:val="000000" w:themeColor="text1"/>
        </w:rPr>
        <w:t xml:space="preserve"> </w:t>
      </w:r>
      <w:r w:rsidR="00504291" w:rsidRPr="009D0719">
        <w:rPr>
          <w:color w:val="000000" w:themeColor="text1"/>
        </w:rPr>
        <w:t>solutions d’accompagnement</w:t>
      </w:r>
      <w:r w:rsidR="007E5042" w:rsidRPr="009D0719">
        <w:rPr>
          <w:color w:val="000000" w:themeColor="text1"/>
        </w:rPr>
        <w:t xml:space="preserve"> </w:t>
      </w:r>
      <w:r w:rsidR="00504291" w:rsidRPr="009D0719">
        <w:rPr>
          <w:color w:val="000000" w:themeColor="text1"/>
        </w:rPr>
        <w:t xml:space="preserve">en vue d’une utilisation autonome des </w:t>
      </w:r>
      <w:r w:rsidR="00CC3AB4" w:rsidRPr="009D0719">
        <w:rPr>
          <w:color w:val="000000" w:themeColor="text1"/>
        </w:rPr>
        <w:t xml:space="preserve">NTIC dans </w:t>
      </w:r>
      <w:r w:rsidR="00504291" w:rsidRPr="009D0719">
        <w:rPr>
          <w:color w:val="000000" w:themeColor="text1"/>
        </w:rPr>
        <w:t>leur foyer</w:t>
      </w:r>
      <w:r w:rsidR="00957C25" w:rsidRPr="009D0719">
        <w:rPr>
          <w:color w:val="000000" w:themeColor="text1"/>
        </w:rPr>
        <w:t xml:space="preserve"> (Boissézon </w:t>
      </w:r>
      <w:r w:rsidR="00957C25" w:rsidRPr="009D0719">
        <w:rPr>
          <w:i/>
          <w:color w:val="000000" w:themeColor="text1"/>
        </w:rPr>
        <w:t>et al.</w:t>
      </w:r>
      <w:r w:rsidR="00957C25" w:rsidRPr="009D0719">
        <w:rPr>
          <w:color w:val="000000" w:themeColor="text1"/>
        </w:rPr>
        <w:t>, 2022)</w:t>
      </w:r>
      <w:r w:rsidR="00504291" w:rsidRPr="009D0719">
        <w:rPr>
          <w:color w:val="000000" w:themeColor="text1"/>
        </w:rPr>
        <w:t>.</w:t>
      </w:r>
      <w:r w:rsidR="00AA4E7C" w:rsidRPr="009D0719">
        <w:rPr>
          <w:color w:val="000000" w:themeColor="text1"/>
        </w:rPr>
        <w:t xml:space="preserve"> </w:t>
      </w:r>
      <w:r w:rsidR="00504291" w:rsidRPr="009D0719">
        <w:rPr>
          <w:color w:val="000000" w:themeColor="text1"/>
        </w:rPr>
        <w:t>L’originalité de ce</w:t>
      </w:r>
      <w:r w:rsidR="00E37ADE" w:rsidRPr="009D0719">
        <w:rPr>
          <w:color w:val="000000" w:themeColor="text1"/>
        </w:rPr>
        <w:t xml:space="preserve"> questionnement </w:t>
      </w:r>
      <w:r w:rsidR="00B43B04" w:rsidRPr="009D0719">
        <w:rPr>
          <w:color w:val="000000" w:themeColor="text1"/>
        </w:rPr>
        <w:t>s</w:t>
      </w:r>
      <w:r w:rsidR="005400FC" w:rsidRPr="009D0719">
        <w:rPr>
          <w:color w:val="000000" w:themeColor="text1"/>
        </w:rPr>
        <w:t>e situe</w:t>
      </w:r>
      <w:r w:rsidR="00147E67" w:rsidRPr="009D0719">
        <w:rPr>
          <w:color w:val="000000" w:themeColor="text1"/>
        </w:rPr>
        <w:t xml:space="preserve"> à la fois</w:t>
      </w:r>
      <w:r w:rsidR="00FC4B0C" w:rsidRPr="009D0719">
        <w:rPr>
          <w:color w:val="000000" w:themeColor="text1"/>
        </w:rPr>
        <w:t xml:space="preserve"> </w:t>
      </w:r>
      <w:r w:rsidR="00986214" w:rsidRPr="009D0719">
        <w:rPr>
          <w:color w:val="000000" w:themeColor="text1"/>
        </w:rPr>
        <w:t>dans son objet</w:t>
      </w:r>
      <w:r w:rsidR="00A00822" w:rsidRPr="009D0719">
        <w:rPr>
          <w:color w:val="000000" w:themeColor="text1"/>
        </w:rPr>
        <w:t xml:space="preserve"> </w:t>
      </w:r>
      <w:r w:rsidR="00FC4B0C" w:rsidRPr="009D0719">
        <w:rPr>
          <w:color w:val="000000" w:themeColor="text1"/>
        </w:rPr>
        <w:t xml:space="preserve">et </w:t>
      </w:r>
      <w:r w:rsidR="005400FC" w:rsidRPr="009D0719">
        <w:rPr>
          <w:color w:val="000000" w:themeColor="text1"/>
        </w:rPr>
        <w:t>dans sa méthode</w:t>
      </w:r>
      <w:r w:rsidR="00FC4B0C" w:rsidRPr="009D0719">
        <w:rPr>
          <w:color w:val="000000" w:themeColor="text1"/>
        </w:rPr>
        <w:t xml:space="preserve"> d’analyse</w:t>
      </w:r>
      <w:r w:rsidR="005400FC" w:rsidRPr="009D0719">
        <w:rPr>
          <w:color w:val="000000" w:themeColor="text1"/>
        </w:rPr>
        <w:t xml:space="preserve"> int</w:t>
      </w:r>
      <w:r w:rsidR="00504291" w:rsidRPr="009D0719">
        <w:rPr>
          <w:color w:val="000000" w:themeColor="text1"/>
        </w:rPr>
        <w:t>erdisciplinaire</w:t>
      </w:r>
      <w:r w:rsidR="005400FC" w:rsidRPr="009D0719">
        <w:rPr>
          <w:color w:val="000000" w:themeColor="text1"/>
        </w:rPr>
        <w:t>,</w:t>
      </w:r>
      <w:r w:rsidR="00504291" w:rsidRPr="009D0719">
        <w:rPr>
          <w:color w:val="000000" w:themeColor="text1"/>
        </w:rPr>
        <w:t xml:space="preserve"> à la croisée d</w:t>
      </w:r>
      <w:r w:rsidRPr="009D0719">
        <w:rPr>
          <w:color w:val="000000" w:themeColor="text1"/>
        </w:rPr>
        <w:t xml:space="preserve">u droit </w:t>
      </w:r>
      <w:r w:rsidR="00504291" w:rsidRPr="009D0719">
        <w:rPr>
          <w:color w:val="000000" w:themeColor="text1"/>
        </w:rPr>
        <w:t xml:space="preserve">et </w:t>
      </w:r>
      <w:r w:rsidRPr="009D0719">
        <w:rPr>
          <w:color w:val="000000" w:themeColor="text1"/>
        </w:rPr>
        <w:t>des sciences de l’éducation</w:t>
      </w:r>
      <w:r w:rsidR="00504291" w:rsidRPr="009D0719">
        <w:rPr>
          <w:color w:val="000000" w:themeColor="text1"/>
        </w:rPr>
        <w:t xml:space="preserve">. À défaut de résultats définitifs, cette </w:t>
      </w:r>
      <w:r w:rsidR="00E37ADE" w:rsidRPr="009D0719">
        <w:rPr>
          <w:color w:val="000000" w:themeColor="text1"/>
        </w:rPr>
        <w:t>réflexion</w:t>
      </w:r>
      <w:r w:rsidR="00504291" w:rsidRPr="009D0719">
        <w:rPr>
          <w:color w:val="000000" w:themeColor="text1"/>
        </w:rPr>
        <w:t xml:space="preserve"> aura le mérit</w:t>
      </w:r>
      <w:r w:rsidR="007B14E1" w:rsidRPr="009D0719">
        <w:rPr>
          <w:color w:val="000000" w:themeColor="text1"/>
        </w:rPr>
        <w:t>e de confronter l</w:t>
      </w:r>
      <w:r w:rsidR="005400FC" w:rsidRPr="009D0719">
        <w:rPr>
          <w:color w:val="000000" w:themeColor="text1"/>
        </w:rPr>
        <w:t>a</w:t>
      </w:r>
      <w:r w:rsidR="00504291" w:rsidRPr="009D0719">
        <w:rPr>
          <w:color w:val="000000" w:themeColor="text1"/>
        </w:rPr>
        <w:t xml:space="preserve"> </w:t>
      </w:r>
      <w:r w:rsidR="00FC4B0C" w:rsidRPr="009D0719">
        <w:rPr>
          <w:color w:val="000000" w:themeColor="text1"/>
        </w:rPr>
        <w:t>désinstitutionalisation</w:t>
      </w:r>
      <w:r w:rsidR="00853DC6" w:rsidRPr="009D0719">
        <w:rPr>
          <w:color w:val="000000" w:themeColor="text1"/>
        </w:rPr>
        <w:t xml:space="preserve"> </w:t>
      </w:r>
      <w:r w:rsidR="005400FC" w:rsidRPr="009D0719">
        <w:rPr>
          <w:color w:val="000000" w:themeColor="text1"/>
        </w:rPr>
        <w:t>à l’aune du défi numérique</w:t>
      </w:r>
      <w:r w:rsidR="009336B4" w:rsidRPr="009D0719">
        <w:rPr>
          <w:color w:val="000000" w:themeColor="text1"/>
        </w:rPr>
        <w:t>.</w:t>
      </w:r>
    </w:p>
    <w:p w14:paraId="07B7088D" w14:textId="7B360513" w:rsidR="00F93C11" w:rsidRPr="00F93C11" w:rsidRDefault="003F7B49" w:rsidP="00F93C1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Références b</w:t>
      </w:r>
      <w:r w:rsidR="00F93C11" w:rsidRPr="00F93C11">
        <w:rPr>
          <w:color w:val="000000"/>
        </w:rPr>
        <w:t>ibliographi</w:t>
      </w:r>
      <w:r>
        <w:rPr>
          <w:color w:val="000000"/>
        </w:rPr>
        <w:t>ques</w:t>
      </w:r>
      <w:r>
        <w:rPr>
          <w:rStyle w:val="Appelnotedebasdep"/>
          <w:color w:val="000000"/>
        </w:rPr>
        <w:footnoteReference w:id="2"/>
      </w:r>
      <w:r w:rsidR="00F93C11" w:rsidRPr="00F93C11">
        <w:rPr>
          <w:color w:val="000000"/>
        </w:rPr>
        <w:t xml:space="preserve"> :</w:t>
      </w:r>
    </w:p>
    <w:p w14:paraId="01A4B791" w14:textId="32C707C1" w:rsidR="00AC2BAF" w:rsidRPr="003F7B49" w:rsidRDefault="00AC2BAF" w:rsidP="003F7B49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3F7B49">
        <w:rPr>
          <w:color w:val="000000"/>
        </w:rPr>
        <w:t>Bali</w:t>
      </w:r>
      <w:r w:rsidR="00D82DC3" w:rsidRPr="003F7B49">
        <w:rPr>
          <w:color w:val="000000"/>
        </w:rPr>
        <w:t>n</w:t>
      </w:r>
      <w:proofErr w:type="spellEnd"/>
      <w:r w:rsidR="00D82DC3" w:rsidRPr="003F7B49">
        <w:rPr>
          <w:color w:val="000000"/>
        </w:rPr>
        <w:t xml:space="preserve">, P. &amp; Gossart, </w:t>
      </w:r>
      <w:r w:rsidR="00B612A6" w:rsidRPr="003F7B49">
        <w:rPr>
          <w:color w:val="000000"/>
        </w:rPr>
        <w:t xml:space="preserve">C. (2015). L’accessibilité des TIC par les personnes handicapées : état des lieux du contexte actuel. </w:t>
      </w:r>
      <w:r w:rsidR="00B612A6" w:rsidRPr="003F7B49">
        <w:rPr>
          <w:i/>
          <w:iCs/>
          <w:color w:val="000000"/>
        </w:rPr>
        <w:t>Terminal</w:t>
      </w:r>
      <w:r w:rsidR="00B612A6" w:rsidRPr="003F7B49">
        <w:rPr>
          <w:color w:val="000000"/>
        </w:rPr>
        <w:t xml:space="preserve">, </w:t>
      </w:r>
      <w:r w:rsidR="00B612A6" w:rsidRPr="003F7B49">
        <w:rPr>
          <w:i/>
          <w:iCs/>
          <w:color w:val="000000"/>
        </w:rPr>
        <w:t>116</w:t>
      </w:r>
      <w:r w:rsidR="00B612A6" w:rsidRPr="003F7B49">
        <w:rPr>
          <w:color w:val="000000"/>
        </w:rPr>
        <w:t>, p.</w:t>
      </w:r>
      <w:r w:rsidR="006552A8" w:rsidRPr="003F7B49">
        <w:rPr>
          <w:color w:val="000000"/>
        </w:rPr>
        <w:t xml:space="preserve">1-11. </w:t>
      </w:r>
    </w:p>
    <w:p w14:paraId="3ECEA539" w14:textId="3B3F364A" w:rsidR="00DA1A90" w:rsidRDefault="00F93C11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>B</w:t>
      </w:r>
      <w:r w:rsidR="00A44CF8" w:rsidRPr="003F7B49">
        <w:rPr>
          <w:color w:val="000000"/>
        </w:rPr>
        <w:t>ernard,</w:t>
      </w:r>
      <w:r w:rsidRPr="003F7B49">
        <w:rPr>
          <w:color w:val="000000"/>
        </w:rPr>
        <w:t xml:space="preserve"> N.</w:t>
      </w:r>
      <w:r w:rsidR="00A44CF8" w:rsidRPr="003F7B49">
        <w:rPr>
          <w:color w:val="000000"/>
        </w:rPr>
        <w:t xml:space="preserve"> (2020).</w:t>
      </w:r>
      <w:r w:rsidRPr="003F7B49">
        <w:rPr>
          <w:color w:val="000000"/>
        </w:rPr>
        <w:t xml:space="preserve"> La politique du logement en faveur des personnes porteuses d’un handicap, au dilemme entre institutionnalisation et adaptation de l’habitat</w:t>
      </w:r>
      <w:r w:rsidR="00A44CF8" w:rsidRPr="003F7B49">
        <w:rPr>
          <w:color w:val="000000"/>
        </w:rPr>
        <w:t>. Dans</w:t>
      </w:r>
      <w:r w:rsidRPr="003F7B49">
        <w:rPr>
          <w:color w:val="000000"/>
        </w:rPr>
        <w:t xml:space="preserve"> </w:t>
      </w:r>
      <w:r w:rsidR="00C61BB9" w:rsidRPr="003F7B49">
        <w:rPr>
          <w:color w:val="000000"/>
        </w:rPr>
        <w:t xml:space="preserve">I. Hachez et J. </w:t>
      </w:r>
      <w:proofErr w:type="spellStart"/>
      <w:r w:rsidR="00C61BB9" w:rsidRPr="003F7B49">
        <w:rPr>
          <w:color w:val="000000"/>
        </w:rPr>
        <w:t>Vrielink</w:t>
      </w:r>
      <w:proofErr w:type="spellEnd"/>
      <w:r w:rsidR="00C61BB9" w:rsidRPr="003F7B49">
        <w:rPr>
          <w:color w:val="000000"/>
        </w:rPr>
        <w:t xml:space="preserve"> (</w:t>
      </w:r>
      <w:proofErr w:type="spellStart"/>
      <w:r w:rsidR="00C61BB9" w:rsidRPr="003F7B49">
        <w:rPr>
          <w:color w:val="000000"/>
        </w:rPr>
        <w:t>dir</w:t>
      </w:r>
      <w:proofErr w:type="spellEnd"/>
      <w:r w:rsidR="00C61BB9" w:rsidRPr="003F7B49">
        <w:rPr>
          <w:color w:val="000000"/>
        </w:rPr>
        <w:t xml:space="preserve">.), </w:t>
      </w:r>
      <w:r w:rsidRPr="003F7B49">
        <w:rPr>
          <w:i/>
          <w:color w:val="000000"/>
        </w:rPr>
        <w:t>Les Grands arrêts en matière de handicap</w:t>
      </w:r>
      <w:r w:rsidR="00C61BB9" w:rsidRPr="003F7B49">
        <w:rPr>
          <w:i/>
          <w:color w:val="000000"/>
        </w:rPr>
        <w:t xml:space="preserve"> </w:t>
      </w:r>
      <w:r w:rsidR="00C61BB9" w:rsidRPr="003F7B49">
        <w:rPr>
          <w:color w:val="000000"/>
        </w:rPr>
        <w:t xml:space="preserve">(p. </w:t>
      </w:r>
      <w:r w:rsidRPr="003F7B49">
        <w:rPr>
          <w:color w:val="000000"/>
        </w:rPr>
        <w:t>428-454</w:t>
      </w:r>
      <w:r w:rsidR="00C61BB9" w:rsidRPr="003F7B49">
        <w:rPr>
          <w:color w:val="000000"/>
        </w:rPr>
        <w:t xml:space="preserve">). Larcier : Bruxelles. </w:t>
      </w:r>
    </w:p>
    <w:p w14:paraId="031276E6" w14:textId="2B2EAD53" w:rsidR="00957C25" w:rsidRDefault="00957C25" w:rsidP="00957C25">
      <w:r>
        <w:rPr>
          <w:color w:val="000000"/>
        </w:rPr>
        <w:t xml:space="preserve">Boissézon, E., </w:t>
      </w:r>
      <w:proofErr w:type="spellStart"/>
      <w:r>
        <w:rPr>
          <w:color w:val="000000"/>
        </w:rPr>
        <w:t>Wasterlain</w:t>
      </w:r>
      <w:proofErr w:type="spellEnd"/>
      <w:r>
        <w:rPr>
          <w:color w:val="000000"/>
        </w:rPr>
        <w:t xml:space="preserve">, A., </w:t>
      </w:r>
      <w:proofErr w:type="spellStart"/>
      <w:r>
        <w:rPr>
          <w:color w:val="000000"/>
        </w:rPr>
        <w:t>Glineur</w:t>
      </w:r>
      <w:proofErr w:type="spellEnd"/>
      <w:r>
        <w:rPr>
          <w:color w:val="000000"/>
        </w:rPr>
        <w:t xml:space="preserve">, C. &amp; </w:t>
      </w:r>
      <w:proofErr w:type="spellStart"/>
      <w:r>
        <w:rPr>
          <w:color w:val="000000"/>
        </w:rPr>
        <w:t>Lahaye</w:t>
      </w:r>
      <w:proofErr w:type="spellEnd"/>
      <w:r>
        <w:rPr>
          <w:color w:val="000000"/>
        </w:rPr>
        <w:t xml:space="preserve">, W. (2022). </w:t>
      </w:r>
      <w:r w:rsidRPr="00957C25">
        <w:rPr>
          <w:color w:val="000000"/>
        </w:rPr>
        <w:t>La participation des usagers face aux technologies de la transition énergétique : réflexion autour du cas des compteurs dits intelligents.</w:t>
      </w:r>
      <w:r>
        <w:rPr>
          <w:color w:val="000000"/>
        </w:rPr>
        <w:t xml:space="preserve"> </w:t>
      </w:r>
      <w:r>
        <w:rPr>
          <w:i/>
          <w:color w:val="000000"/>
        </w:rPr>
        <w:t>Étu</w:t>
      </w:r>
      <w:r w:rsidRPr="00957C25">
        <w:rPr>
          <w:i/>
          <w:color w:val="000000"/>
        </w:rPr>
        <w:t>des Digitales</w:t>
      </w:r>
      <w:r>
        <w:rPr>
          <w:color w:val="000000"/>
        </w:rPr>
        <w:t xml:space="preserve"> [à paraître]. </w:t>
      </w:r>
    </w:p>
    <w:p w14:paraId="592A6968" w14:textId="77777777" w:rsidR="00957C25" w:rsidRPr="00957C25" w:rsidRDefault="00957C25" w:rsidP="00957C25"/>
    <w:p w14:paraId="52B41193" w14:textId="2B2A7760" w:rsidR="00DA1A90" w:rsidRPr="00DA1A90" w:rsidRDefault="00DA1A90" w:rsidP="00DA1A90">
      <w:pPr>
        <w:jc w:val="both"/>
        <w:rPr>
          <w:sz w:val="22"/>
        </w:rPr>
      </w:pPr>
      <w:proofErr w:type="spellStart"/>
      <w:r w:rsidRPr="00DA1A90">
        <w:rPr>
          <w:color w:val="000000"/>
          <w:szCs w:val="27"/>
        </w:rPr>
        <w:t>Brotcorne</w:t>
      </w:r>
      <w:proofErr w:type="spellEnd"/>
      <w:r w:rsidRPr="00DA1A90">
        <w:rPr>
          <w:color w:val="000000"/>
          <w:szCs w:val="27"/>
        </w:rPr>
        <w:t xml:space="preserve">, P. &amp; </w:t>
      </w:r>
      <w:proofErr w:type="spellStart"/>
      <w:r w:rsidRPr="00DA1A90">
        <w:rPr>
          <w:color w:val="000000"/>
          <w:szCs w:val="27"/>
        </w:rPr>
        <w:t>Mariën</w:t>
      </w:r>
      <w:proofErr w:type="spellEnd"/>
      <w:r w:rsidRPr="00DA1A90">
        <w:rPr>
          <w:color w:val="000000"/>
          <w:szCs w:val="27"/>
        </w:rPr>
        <w:t xml:space="preserve">, I. (2020). Baromètre de l’inclusion numérique. Bruxelles : Fédération Roi Baudouin. Consulté à l’adresse </w:t>
      </w:r>
      <w:hyperlink r:id="rId8" w:history="1">
        <w:r w:rsidRPr="00DA1A90">
          <w:rPr>
            <w:rStyle w:val="Lienhypertexte"/>
            <w:szCs w:val="27"/>
          </w:rPr>
          <w:t>https://en.calameo.com/read/0017742954bec89c77172?authid=OClWTGwXHtBZ</w:t>
        </w:r>
      </w:hyperlink>
    </w:p>
    <w:p w14:paraId="5EDFAA3F" w14:textId="3EB4F2AD" w:rsidR="00C54C69" w:rsidRPr="003F7B49" w:rsidRDefault="00C54C69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 xml:space="preserve">Convention relative aux droits des personnes handicapées et son Protocole facultatif, adoptés à New-York le 13 décembre 2006, approuvés par la loi du 13 mai 2009, </w:t>
      </w:r>
      <w:r w:rsidRPr="003F7B49">
        <w:rPr>
          <w:i/>
          <w:color w:val="000000"/>
        </w:rPr>
        <w:t>M.B</w:t>
      </w:r>
      <w:r w:rsidRPr="003F7B49">
        <w:rPr>
          <w:color w:val="000000"/>
        </w:rPr>
        <w:t>., 22 juillet 2009, p. 50169.</w:t>
      </w:r>
    </w:p>
    <w:p w14:paraId="45932321" w14:textId="77777777" w:rsidR="00C54C69" w:rsidRPr="003F7B49" w:rsidRDefault="00C54C69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 xml:space="preserve">Comité des droits des personnes handicapées, </w:t>
      </w:r>
      <w:r w:rsidRPr="003F7B49">
        <w:rPr>
          <w:i/>
          <w:color w:val="000000"/>
        </w:rPr>
        <w:t>H.M.</w:t>
      </w:r>
      <w:r w:rsidRPr="003F7B49">
        <w:rPr>
          <w:color w:val="000000"/>
        </w:rPr>
        <w:t xml:space="preserve"> contre Suède, Communication n°3/2011, CRPD/C/7/D/3/2011, 21 mai 2012.</w:t>
      </w:r>
    </w:p>
    <w:p w14:paraId="38B78693" w14:textId="77777777" w:rsidR="00C54C69" w:rsidRPr="003F7B49" w:rsidRDefault="00C54C69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>Comité des droits des personnes handicapées, Observation générale n° 5, CRPD/C/GC/5, Genève, 27 octobre 2017.</w:t>
      </w:r>
    </w:p>
    <w:p w14:paraId="589E11B7" w14:textId="622C0B36" w:rsidR="00B93F53" w:rsidRPr="003F7B49" w:rsidRDefault="00B93F53" w:rsidP="003F7B49">
      <w:pPr>
        <w:spacing w:before="100" w:beforeAutospacing="1" w:after="100" w:afterAutospacing="1"/>
        <w:jc w:val="both"/>
        <w:rPr>
          <w:rStyle w:val="eop"/>
          <w:color w:val="000000"/>
          <w:shd w:val="clear" w:color="auto" w:fill="FFFFFF"/>
        </w:rPr>
      </w:pPr>
      <w:r w:rsidRPr="003F7B49">
        <w:rPr>
          <w:rStyle w:val="normaltextrun"/>
          <w:color w:val="000000"/>
          <w:shd w:val="clear" w:color="auto" w:fill="FFFFFF"/>
        </w:rPr>
        <w:t>Décret de la Région wallonne du 19 juillet 2018, modifiant les décrets du 12 avril 2001 relatif à l'organisation du marché régional de l'électricité et du 19 janvier 2017 relatif à la méthodologie tarifaire applicable aux gestionnaires de réseau de distribution de gaz et d'électricité en vue du déploiement des compteurs intelligents et de la flexibilité (1), </w:t>
      </w:r>
      <w:r w:rsidRPr="003F7B49">
        <w:rPr>
          <w:rStyle w:val="normaltextrun"/>
          <w:i/>
          <w:iCs/>
          <w:color w:val="000000"/>
          <w:shd w:val="clear" w:color="auto" w:fill="FFFFFF"/>
        </w:rPr>
        <w:t>M.B.</w:t>
      </w:r>
      <w:r w:rsidRPr="003F7B49">
        <w:rPr>
          <w:rStyle w:val="normaltextrun"/>
          <w:color w:val="000000"/>
          <w:shd w:val="clear" w:color="auto" w:fill="FFFFFF"/>
        </w:rPr>
        <w:t>, 6 septembre 2018</w:t>
      </w:r>
      <w:r w:rsidR="00C61BB9" w:rsidRPr="003F7B49">
        <w:rPr>
          <w:rStyle w:val="normaltextrun"/>
          <w:color w:val="000000"/>
          <w:shd w:val="clear" w:color="auto" w:fill="FFFFFF"/>
        </w:rPr>
        <w:t>, p. 68887</w:t>
      </w:r>
      <w:r w:rsidRPr="003F7B49">
        <w:rPr>
          <w:rStyle w:val="normaltextrun"/>
          <w:color w:val="000000"/>
          <w:shd w:val="clear" w:color="auto" w:fill="FFFFFF"/>
        </w:rPr>
        <w:t>. </w:t>
      </w:r>
      <w:r w:rsidRPr="003F7B49">
        <w:rPr>
          <w:rStyle w:val="eop"/>
          <w:color w:val="000000"/>
          <w:shd w:val="clear" w:color="auto" w:fill="FFFFFF"/>
        </w:rPr>
        <w:t> </w:t>
      </w:r>
    </w:p>
    <w:p w14:paraId="44253DD4" w14:textId="7E045701" w:rsidR="00DD1F81" w:rsidRPr="003F7B49" w:rsidRDefault="00DD1F81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>Directive 2009/72/CE du Parlement Européen et du Conseil du 13 juillet 2009 concernant des règles communes pour le marché intérieur de l’électricité et abrogeant la directive 2003/54/CE, </w:t>
      </w:r>
      <w:r w:rsidRPr="003F7B49">
        <w:rPr>
          <w:i/>
          <w:iCs/>
          <w:color w:val="000000"/>
        </w:rPr>
        <w:t>J.O.U.E.</w:t>
      </w:r>
      <w:r w:rsidRPr="003F7B49">
        <w:rPr>
          <w:color w:val="000000"/>
        </w:rPr>
        <w:t>, 14 août 2009</w:t>
      </w:r>
      <w:r w:rsidR="00C61BB9" w:rsidRPr="003F7B49">
        <w:rPr>
          <w:color w:val="000000"/>
        </w:rPr>
        <w:t>, L211/55</w:t>
      </w:r>
      <w:r w:rsidRPr="003F7B49">
        <w:rPr>
          <w:color w:val="000000"/>
        </w:rPr>
        <w:t>.  </w:t>
      </w:r>
    </w:p>
    <w:p w14:paraId="02279F28" w14:textId="37F49BCB" w:rsidR="00F93C11" w:rsidRPr="00126729" w:rsidRDefault="00F93C11" w:rsidP="003F7B49">
      <w:pPr>
        <w:spacing w:before="100" w:beforeAutospacing="1" w:after="100" w:afterAutospacing="1"/>
        <w:jc w:val="both"/>
        <w:rPr>
          <w:color w:val="000000"/>
          <w:lang w:val="en-US"/>
        </w:rPr>
      </w:pPr>
      <w:proofErr w:type="spellStart"/>
      <w:r w:rsidRPr="003F7B49">
        <w:rPr>
          <w:color w:val="000000"/>
          <w:lang w:val="en-US"/>
        </w:rPr>
        <w:t>F</w:t>
      </w:r>
      <w:r w:rsidR="00C61BB9" w:rsidRPr="003F7B49">
        <w:rPr>
          <w:color w:val="000000"/>
          <w:lang w:val="en-US"/>
        </w:rPr>
        <w:t>iala</w:t>
      </w:r>
      <w:r w:rsidRPr="003F7B49">
        <w:rPr>
          <w:color w:val="000000"/>
          <w:lang w:val="en-US"/>
        </w:rPr>
        <w:t>-B</w:t>
      </w:r>
      <w:r w:rsidR="00C61BB9" w:rsidRPr="003F7B49">
        <w:rPr>
          <w:color w:val="000000"/>
          <w:lang w:val="en-US"/>
        </w:rPr>
        <w:t>utora</w:t>
      </w:r>
      <w:proofErr w:type="spellEnd"/>
      <w:r w:rsidR="00734D69" w:rsidRPr="003F7B49">
        <w:rPr>
          <w:color w:val="000000"/>
          <w:lang w:val="en-US"/>
        </w:rPr>
        <w:t>,</w:t>
      </w:r>
      <w:r w:rsidRPr="003F7B49">
        <w:rPr>
          <w:color w:val="000000"/>
          <w:lang w:val="en-US"/>
        </w:rPr>
        <w:t xml:space="preserve"> J., </w:t>
      </w:r>
      <w:proofErr w:type="spellStart"/>
      <w:r w:rsidRPr="003F7B49">
        <w:rPr>
          <w:color w:val="000000"/>
          <w:lang w:val="en-US"/>
        </w:rPr>
        <w:t>R</w:t>
      </w:r>
      <w:r w:rsidR="00C61BB9" w:rsidRPr="003F7B49">
        <w:rPr>
          <w:color w:val="000000"/>
          <w:lang w:val="en-US"/>
        </w:rPr>
        <w:t>immerman</w:t>
      </w:r>
      <w:proofErr w:type="spellEnd"/>
      <w:r w:rsidR="00734D69" w:rsidRPr="003F7B49">
        <w:rPr>
          <w:color w:val="000000"/>
          <w:lang w:val="en-US"/>
        </w:rPr>
        <w:t>,</w:t>
      </w:r>
      <w:r w:rsidRPr="003F7B49">
        <w:rPr>
          <w:color w:val="000000"/>
          <w:lang w:val="en-US"/>
        </w:rPr>
        <w:t xml:space="preserve"> A.</w:t>
      </w:r>
      <w:r w:rsidR="00734D69" w:rsidRPr="003F7B49">
        <w:rPr>
          <w:color w:val="000000"/>
          <w:lang w:val="en-US"/>
        </w:rPr>
        <w:t xml:space="preserve"> &amp; </w:t>
      </w:r>
      <w:r w:rsidRPr="003F7B49">
        <w:rPr>
          <w:color w:val="000000"/>
          <w:lang w:val="en-US"/>
        </w:rPr>
        <w:t>G</w:t>
      </w:r>
      <w:r w:rsidR="00C61BB9" w:rsidRPr="003F7B49">
        <w:rPr>
          <w:color w:val="000000"/>
          <w:lang w:val="en-US"/>
        </w:rPr>
        <w:t>ur</w:t>
      </w:r>
      <w:r w:rsidR="00734D69" w:rsidRPr="003F7B49">
        <w:rPr>
          <w:color w:val="000000"/>
          <w:lang w:val="en-US"/>
        </w:rPr>
        <w:t>,</w:t>
      </w:r>
      <w:r w:rsidRPr="003F7B49">
        <w:rPr>
          <w:color w:val="000000"/>
          <w:lang w:val="en-US"/>
        </w:rPr>
        <w:t xml:space="preserve"> A.</w:t>
      </w:r>
      <w:r w:rsidR="00734D69" w:rsidRPr="003F7B49">
        <w:rPr>
          <w:color w:val="000000"/>
          <w:lang w:val="en-US"/>
        </w:rPr>
        <w:t xml:space="preserve"> (2018).</w:t>
      </w:r>
      <w:r w:rsidRPr="003F7B49">
        <w:rPr>
          <w:color w:val="000000"/>
          <w:lang w:val="en-US"/>
        </w:rPr>
        <w:t xml:space="preserve"> Article 19: Living Independently and Being Included in the Community</w:t>
      </w:r>
      <w:r w:rsidR="00734D69" w:rsidRPr="003F7B49">
        <w:rPr>
          <w:color w:val="000000"/>
          <w:lang w:val="en-US"/>
        </w:rPr>
        <w:t xml:space="preserve">. </w:t>
      </w:r>
      <w:proofErr w:type="spellStart"/>
      <w:r w:rsidR="00734D69" w:rsidRPr="003F7B49">
        <w:rPr>
          <w:color w:val="000000"/>
          <w:lang w:val="en-US"/>
        </w:rPr>
        <w:t>Dans</w:t>
      </w:r>
      <w:proofErr w:type="spellEnd"/>
      <w:r w:rsidR="00734D69" w:rsidRPr="003F7B49">
        <w:rPr>
          <w:color w:val="000000"/>
          <w:lang w:val="en-US"/>
        </w:rPr>
        <w:t xml:space="preserve"> de I. </w:t>
      </w:r>
      <w:proofErr w:type="spellStart"/>
      <w:r w:rsidR="00734D69" w:rsidRPr="003F7B49">
        <w:rPr>
          <w:color w:val="000000"/>
          <w:lang w:val="en-US"/>
        </w:rPr>
        <w:t>Bantekas</w:t>
      </w:r>
      <w:proofErr w:type="spellEnd"/>
      <w:r w:rsidR="00734D69" w:rsidRPr="003F7B49">
        <w:rPr>
          <w:color w:val="000000"/>
          <w:lang w:val="en-US"/>
        </w:rPr>
        <w:t xml:space="preserve">, M. A. Stein et D. </w:t>
      </w:r>
      <w:proofErr w:type="spellStart"/>
      <w:r w:rsidR="00734D69" w:rsidRPr="003F7B49">
        <w:rPr>
          <w:color w:val="000000"/>
          <w:lang w:val="en-US"/>
        </w:rPr>
        <w:t>Anastasiou</w:t>
      </w:r>
      <w:proofErr w:type="spellEnd"/>
      <w:r w:rsidR="00734D69" w:rsidRPr="003F7B49">
        <w:rPr>
          <w:color w:val="000000"/>
          <w:lang w:val="en-US"/>
        </w:rPr>
        <w:t xml:space="preserve"> (dir.), </w:t>
      </w:r>
      <w:r w:rsidRPr="003F7B49">
        <w:rPr>
          <w:i/>
          <w:color w:val="000000"/>
          <w:lang w:val="en-US"/>
        </w:rPr>
        <w:t xml:space="preserve">The UN Convention on the Rights of Persons with Disabilities. </w:t>
      </w:r>
      <w:r w:rsidRPr="00126729">
        <w:rPr>
          <w:i/>
          <w:color w:val="000000"/>
          <w:lang w:val="en-US"/>
        </w:rPr>
        <w:t>A Commentary</w:t>
      </w:r>
      <w:r w:rsidR="00734D69" w:rsidRPr="00126729">
        <w:rPr>
          <w:i/>
          <w:color w:val="000000"/>
          <w:lang w:val="en-US"/>
        </w:rPr>
        <w:t xml:space="preserve"> </w:t>
      </w:r>
      <w:r w:rsidR="00734D69" w:rsidRPr="00126729">
        <w:rPr>
          <w:color w:val="000000"/>
          <w:lang w:val="en-US"/>
        </w:rPr>
        <w:t>(p. 530-558).</w:t>
      </w:r>
      <w:r w:rsidRPr="00126729">
        <w:rPr>
          <w:color w:val="000000"/>
          <w:lang w:val="en-US"/>
        </w:rPr>
        <w:t xml:space="preserve"> Oxford University Pres</w:t>
      </w:r>
      <w:r w:rsidR="00734D69" w:rsidRPr="00126729">
        <w:rPr>
          <w:color w:val="000000"/>
          <w:lang w:val="en-US"/>
        </w:rPr>
        <w:t xml:space="preserve">s: </w:t>
      </w:r>
      <w:r w:rsidRPr="00126729">
        <w:rPr>
          <w:color w:val="000000"/>
          <w:lang w:val="en-US"/>
        </w:rPr>
        <w:t>Oxford.</w:t>
      </w:r>
    </w:p>
    <w:p w14:paraId="45116905" w14:textId="03D85473" w:rsidR="00F93C11" w:rsidRPr="003F7B49" w:rsidRDefault="00F93C11" w:rsidP="003F7B49">
      <w:pPr>
        <w:spacing w:before="100" w:beforeAutospacing="1" w:after="100" w:afterAutospacing="1"/>
        <w:jc w:val="both"/>
        <w:rPr>
          <w:color w:val="000000"/>
        </w:rPr>
      </w:pPr>
      <w:r w:rsidRPr="00126729">
        <w:rPr>
          <w:color w:val="000000"/>
          <w:lang w:val="en-US"/>
        </w:rPr>
        <w:t>G</w:t>
      </w:r>
      <w:r w:rsidR="00734D69" w:rsidRPr="00126729">
        <w:rPr>
          <w:color w:val="000000"/>
          <w:lang w:val="en-US"/>
        </w:rPr>
        <w:t>hesqui</w:t>
      </w:r>
      <w:r w:rsidR="003F7B49" w:rsidRPr="00126729">
        <w:rPr>
          <w:color w:val="000000"/>
          <w:lang w:val="en-US"/>
        </w:rPr>
        <w:t>è</w:t>
      </w:r>
      <w:r w:rsidR="00734D69" w:rsidRPr="00126729">
        <w:rPr>
          <w:color w:val="000000"/>
          <w:lang w:val="en-US"/>
        </w:rPr>
        <w:t>re,</w:t>
      </w:r>
      <w:r w:rsidRPr="00126729">
        <w:rPr>
          <w:color w:val="000000"/>
          <w:lang w:val="en-US"/>
        </w:rPr>
        <w:t xml:space="preserve"> V., H</w:t>
      </w:r>
      <w:r w:rsidR="00734D69" w:rsidRPr="00126729">
        <w:rPr>
          <w:color w:val="000000"/>
          <w:lang w:val="en-US"/>
        </w:rPr>
        <w:t>achez,</w:t>
      </w:r>
      <w:r w:rsidRPr="00126729">
        <w:rPr>
          <w:color w:val="000000"/>
          <w:lang w:val="en-US"/>
        </w:rPr>
        <w:t xml:space="preserve"> I.</w:t>
      </w:r>
      <w:r w:rsidR="00734D69" w:rsidRPr="00126729">
        <w:rPr>
          <w:color w:val="000000"/>
          <w:lang w:val="en-US"/>
        </w:rPr>
        <w:t xml:space="preserve"> &amp;</w:t>
      </w:r>
      <w:r w:rsidRPr="00126729">
        <w:rPr>
          <w:color w:val="000000"/>
          <w:lang w:val="en-US"/>
        </w:rPr>
        <w:t xml:space="preserve"> V</w:t>
      </w:r>
      <w:r w:rsidR="00734D69" w:rsidRPr="00126729">
        <w:rPr>
          <w:color w:val="000000"/>
          <w:lang w:val="en-US"/>
        </w:rPr>
        <w:t xml:space="preserve">an </w:t>
      </w:r>
      <w:r w:rsidRPr="00126729">
        <w:rPr>
          <w:color w:val="000000"/>
          <w:lang w:val="en-US"/>
        </w:rPr>
        <w:t>B</w:t>
      </w:r>
      <w:r w:rsidR="00734D69" w:rsidRPr="00126729">
        <w:rPr>
          <w:color w:val="000000"/>
          <w:lang w:val="en-US"/>
        </w:rPr>
        <w:t>asselaere,</w:t>
      </w:r>
      <w:r w:rsidRPr="00126729">
        <w:rPr>
          <w:color w:val="000000"/>
          <w:lang w:val="en-US"/>
        </w:rPr>
        <w:t xml:space="preserve"> C.</w:t>
      </w:r>
      <w:r w:rsidR="00734D69" w:rsidRPr="00126729">
        <w:rPr>
          <w:color w:val="000000"/>
          <w:lang w:val="en-US"/>
        </w:rPr>
        <w:t xml:space="preserve"> (2018).</w:t>
      </w:r>
      <w:r w:rsidRPr="00126729">
        <w:rPr>
          <w:color w:val="000000"/>
          <w:lang w:val="en-US"/>
        </w:rPr>
        <w:t xml:space="preserve"> </w:t>
      </w:r>
      <w:r w:rsidRPr="003F7B49">
        <w:rPr>
          <w:color w:val="000000"/>
        </w:rPr>
        <w:t>La discrimination fondée sur le handicap</w:t>
      </w:r>
      <w:r w:rsidR="00734D69" w:rsidRPr="003F7B49">
        <w:rPr>
          <w:color w:val="000000"/>
        </w:rPr>
        <w:t>. Dans</w:t>
      </w:r>
      <w:r w:rsidRPr="003F7B49">
        <w:rPr>
          <w:color w:val="000000"/>
        </w:rPr>
        <w:t xml:space="preserve"> </w:t>
      </w:r>
      <w:r w:rsidR="003F7B49" w:rsidRPr="003F7B49">
        <w:rPr>
          <w:color w:val="000000"/>
        </w:rPr>
        <w:t xml:space="preserve">J. </w:t>
      </w:r>
      <w:proofErr w:type="spellStart"/>
      <w:r w:rsidR="003F7B49" w:rsidRPr="003F7B49">
        <w:rPr>
          <w:color w:val="000000"/>
        </w:rPr>
        <w:t>Ringelheim</w:t>
      </w:r>
      <w:proofErr w:type="spellEnd"/>
      <w:r w:rsidR="003F7B49" w:rsidRPr="003F7B49">
        <w:rPr>
          <w:color w:val="000000"/>
        </w:rPr>
        <w:t xml:space="preserve"> et P. </w:t>
      </w:r>
      <w:proofErr w:type="spellStart"/>
      <w:r w:rsidR="003F7B49" w:rsidRPr="003F7B49">
        <w:rPr>
          <w:color w:val="000000"/>
        </w:rPr>
        <w:t>Wautelet</w:t>
      </w:r>
      <w:proofErr w:type="spellEnd"/>
      <w:r w:rsidR="003F7B49" w:rsidRPr="003F7B49">
        <w:rPr>
          <w:color w:val="000000"/>
        </w:rPr>
        <w:t xml:space="preserve"> (</w:t>
      </w:r>
      <w:proofErr w:type="spellStart"/>
      <w:r w:rsidR="003F7B49" w:rsidRPr="003F7B49">
        <w:rPr>
          <w:color w:val="000000"/>
        </w:rPr>
        <w:t>dir</w:t>
      </w:r>
      <w:proofErr w:type="spellEnd"/>
      <w:r w:rsidR="003F7B49" w:rsidRPr="003F7B49">
        <w:rPr>
          <w:color w:val="000000"/>
        </w:rPr>
        <w:t xml:space="preserve">.), </w:t>
      </w:r>
      <w:r w:rsidRPr="003F7B49">
        <w:rPr>
          <w:i/>
          <w:color w:val="000000"/>
        </w:rPr>
        <w:t>Comprendre et pratiquer le droit de la lutte contre les discriminations</w:t>
      </w:r>
      <w:r w:rsidR="003F7B49" w:rsidRPr="003F7B49">
        <w:rPr>
          <w:color w:val="000000"/>
        </w:rPr>
        <w:t xml:space="preserve"> (p. 73-136).</w:t>
      </w:r>
      <w:r w:rsidRPr="003F7B49">
        <w:rPr>
          <w:color w:val="000000"/>
        </w:rPr>
        <w:t xml:space="preserve"> Anthémis</w:t>
      </w:r>
      <w:r w:rsidR="003F7B49" w:rsidRPr="003F7B49">
        <w:rPr>
          <w:color w:val="000000"/>
        </w:rPr>
        <w:t xml:space="preserve"> : </w:t>
      </w:r>
      <w:proofErr w:type="spellStart"/>
      <w:r w:rsidRPr="003F7B49">
        <w:rPr>
          <w:color w:val="000000"/>
        </w:rPr>
        <w:t>Limal</w:t>
      </w:r>
      <w:proofErr w:type="spellEnd"/>
      <w:r w:rsidR="003F7B49" w:rsidRPr="003F7B49">
        <w:rPr>
          <w:color w:val="000000"/>
        </w:rPr>
        <w:t>.</w:t>
      </w:r>
      <w:r w:rsidRPr="003F7B49">
        <w:rPr>
          <w:color w:val="000000"/>
        </w:rPr>
        <w:t xml:space="preserve"> </w:t>
      </w:r>
    </w:p>
    <w:p w14:paraId="1D24271C" w14:textId="1E00BB1C" w:rsidR="009662B8" w:rsidRPr="003F7B49" w:rsidRDefault="009662B8" w:rsidP="003F7B49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3F7B49">
        <w:rPr>
          <w:color w:val="000000"/>
        </w:rPr>
        <w:lastRenderedPageBreak/>
        <w:t>Ottaviani</w:t>
      </w:r>
      <w:proofErr w:type="spellEnd"/>
      <w:r w:rsidRPr="003F7B49">
        <w:rPr>
          <w:color w:val="000000"/>
        </w:rPr>
        <w:t xml:space="preserve">, E. (2016). Les fractures numériques : Comment réduire les inégalités. </w:t>
      </w:r>
      <w:r w:rsidRPr="003F7B49">
        <w:rPr>
          <w:i/>
          <w:iCs/>
          <w:color w:val="000000"/>
        </w:rPr>
        <w:t>Analyse</w:t>
      </w:r>
      <w:r w:rsidRPr="003F7B49">
        <w:rPr>
          <w:color w:val="000000"/>
        </w:rPr>
        <w:t>,</w:t>
      </w:r>
      <w:r w:rsidRPr="003F7B49">
        <w:rPr>
          <w:i/>
          <w:iCs/>
          <w:color w:val="000000"/>
        </w:rPr>
        <w:t xml:space="preserve"> 267</w:t>
      </w:r>
      <w:r w:rsidRPr="003F7B49">
        <w:rPr>
          <w:color w:val="000000"/>
        </w:rPr>
        <w:t xml:space="preserve">, 1-20. Consulté à l’adresse </w:t>
      </w:r>
      <w:hyperlink r:id="rId9" w:history="1">
        <w:r w:rsidRPr="003F7B49">
          <w:rPr>
            <w:rStyle w:val="Lienhypertexte"/>
          </w:rPr>
          <w:t>https://www.cpcp.be/wp-content/uploads/2019/05/fracture-numerique.pdf</w:t>
        </w:r>
      </w:hyperlink>
    </w:p>
    <w:p w14:paraId="47F6B418" w14:textId="01A253C2" w:rsidR="00F93C11" w:rsidRPr="00126729" w:rsidRDefault="00F93C11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  <w:lang w:val="en-US"/>
        </w:rPr>
        <w:t>P</w:t>
      </w:r>
      <w:r w:rsidR="003F7B49" w:rsidRPr="003F7B49">
        <w:rPr>
          <w:color w:val="000000"/>
          <w:lang w:val="en-US"/>
        </w:rPr>
        <w:t>almisano,</w:t>
      </w:r>
      <w:r w:rsidRPr="003F7B49">
        <w:rPr>
          <w:color w:val="000000"/>
          <w:lang w:val="en-US"/>
        </w:rPr>
        <w:t xml:space="preserve"> G.</w:t>
      </w:r>
      <w:r w:rsidR="003F7B49" w:rsidRPr="003F7B49">
        <w:rPr>
          <w:color w:val="000000"/>
          <w:lang w:val="en-US"/>
        </w:rPr>
        <w:t xml:space="preserve"> (2017). </w:t>
      </w:r>
      <w:r w:rsidRPr="003F7B49">
        <w:rPr>
          <w:color w:val="000000"/>
          <w:lang w:val="en-US"/>
        </w:rPr>
        <w:t xml:space="preserve">Article 19 [Living </w:t>
      </w:r>
      <w:proofErr w:type="spellStart"/>
      <w:r w:rsidRPr="003F7B49">
        <w:rPr>
          <w:color w:val="000000"/>
          <w:lang w:val="en-US"/>
        </w:rPr>
        <w:t>Indepently</w:t>
      </w:r>
      <w:proofErr w:type="spellEnd"/>
      <w:r w:rsidRPr="003F7B49">
        <w:rPr>
          <w:color w:val="000000"/>
          <w:lang w:val="en-US"/>
        </w:rPr>
        <w:t xml:space="preserve"> and Being Included in the Community]</w:t>
      </w:r>
      <w:r w:rsidR="003F7B49" w:rsidRPr="003F7B49">
        <w:rPr>
          <w:color w:val="000000"/>
          <w:lang w:val="en-US"/>
        </w:rPr>
        <w:t xml:space="preserve">. </w:t>
      </w:r>
      <w:proofErr w:type="spellStart"/>
      <w:r w:rsidR="003F7B49" w:rsidRPr="003F7B49">
        <w:rPr>
          <w:color w:val="000000"/>
          <w:lang w:val="en-US"/>
        </w:rPr>
        <w:t>Dans</w:t>
      </w:r>
      <w:proofErr w:type="spellEnd"/>
      <w:r w:rsidR="003F7B49" w:rsidRPr="003F7B49">
        <w:rPr>
          <w:color w:val="000000"/>
          <w:lang w:val="en-US"/>
        </w:rPr>
        <w:t xml:space="preserve"> V. Della Fina, R. </w:t>
      </w:r>
      <w:proofErr w:type="spellStart"/>
      <w:r w:rsidR="003F7B49" w:rsidRPr="003F7B49">
        <w:rPr>
          <w:color w:val="000000"/>
          <w:lang w:val="en-US"/>
        </w:rPr>
        <w:t>Cera</w:t>
      </w:r>
      <w:proofErr w:type="spellEnd"/>
      <w:r w:rsidR="003F7B49" w:rsidRPr="003F7B49">
        <w:rPr>
          <w:color w:val="000000"/>
          <w:lang w:val="en-US"/>
        </w:rPr>
        <w:t xml:space="preserve"> et G. Palmisano</w:t>
      </w:r>
      <w:r w:rsidRPr="003F7B49">
        <w:rPr>
          <w:color w:val="000000"/>
          <w:lang w:val="en-US"/>
        </w:rPr>
        <w:t xml:space="preserve"> </w:t>
      </w:r>
      <w:r w:rsidR="003F7B49" w:rsidRPr="003F7B49">
        <w:rPr>
          <w:color w:val="000000"/>
          <w:lang w:val="en-US"/>
        </w:rPr>
        <w:t xml:space="preserve">(dir.), </w:t>
      </w:r>
      <w:r w:rsidRPr="003F7B49">
        <w:rPr>
          <w:i/>
          <w:color w:val="000000"/>
          <w:lang w:val="en-US"/>
        </w:rPr>
        <w:t>The United Nations Convention on the Rights of Persons with Disabilities</w:t>
      </w:r>
      <w:r w:rsidR="003F7B49" w:rsidRPr="003F7B49">
        <w:rPr>
          <w:i/>
          <w:color w:val="000000"/>
          <w:lang w:val="en-US"/>
        </w:rPr>
        <w:t xml:space="preserve"> </w:t>
      </w:r>
      <w:r w:rsidR="003F7B49" w:rsidRPr="003F7B49">
        <w:rPr>
          <w:color w:val="000000"/>
          <w:lang w:val="en-US"/>
        </w:rPr>
        <w:t>(p. 353-373).</w:t>
      </w:r>
      <w:r w:rsidRPr="003F7B49">
        <w:rPr>
          <w:color w:val="000000"/>
          <w:lang w:val="en-US"/>
        </w:rPr>
        <w:t xml:space="preserve"> </w:t>
      </w:r>
      <w:r w:rsidRPr="00126729">
        <w:rPr>
          <w:color w:val="000000"/>
        </w:rPr>
        <w:t>Springer</w:t>
      </w:r>
      <w:r w:rsidR="003F7B49" w:rsidRPr="00126729">
        <w:rPr>
          <w:color w:val="000000"/>
        </w:rPr>
        <w:t>:</w:t>
      </w:r>
      <w:r w:rsidRPr="00126729">
        <w:rPr>
          <w:color w:val="000000"/>
        </w:rPr>
        <w:t xml:space="preserve"> Cham</w:t>
      </w:r>
      <w:r w:rsidR="003F7B49" w:rsidRPr="00126729">
        <w:rPr>
          <w:color w:val="000000"/>
        </w:rPr>
        <w:t xml:space="preserve">. </w:t>
      </w:r>
    </w:p>
    <w:p w14:paraId="7E402EFC" w14:textId="7151752C" w:rsidR="00F93C11" w:rsidRPr="003F7B49" w:rsidRDefault="00F93C11" w:rsidP="003F7B49">
      <w:pPr>
        <w:spacing w:before="100" w:beforeAutospacing="1" w:after="100" w:afterAutospacing="1"/>
        <w:jc w:val="both"/>
        <w:rPr>
          <w:color w:val="000000"/>
        </w:rPr>
      </w:pPr>
      <w:r w:rsidRPr="003F7B49">
        <w:rPr>
          <w:color w:val="000000"/>
        </w:rPr>
        <w:t>P</w:t>
      </w:r>
      <w:r w:rsidR="003F7B49" w:rsidRPr="003F7B49">
        <w:rPr>
          <w:color w:val="000000"/>
        </w:rPr>
        <w:t>inède</w:t>
      </w:r>
      <w:r w:rsidRPr="003F7B49">
        <w:rPr>
          <w:color w:val="000000"/>
        </w:rPr>
        <w:t>,</w:t>
      </w:r>
      <w:r w:rsidR="003F7B49" w:rsidRPr="003F7B49">
        <w:rPr>
          <w:color w:val="000000"/>
        </w:rPr>
        <w:t xml:space="preserve"> N. (2018).</w:t>
      </w:r>
      <w:r w:rsidRPr="003F7B49">
        <w:rPr>
          <w:color w:val="000000"/>
        </w:rPr>
        <w:t xml:space="preserve"> Penser le numérique au prisme des situations de handicap : enjeux et paradoxes de l’accessibilité́</w:t>
      </w:r>
      <w:r w:rsidR="003F7B49" w:rsidRPr="003F7B49">
        <w:rPr>
          <w:color w:val="000000"/>
        </w:rPr>
        <w:t>.</w:t>
      </w:r>
      <w:r w:rsidRPr="003F7B49">
        <w:rPr>
          <w:color w:val="000000"/>
        </w:rPr>
        <w:t xml:space="preserve"> </w:t>
      </w:r>
      <w:proofErr w:type="spellStart"/>
      <w:r w:rsidRPr="003F7B49">
        <w:rPr>
          <w:i/>
          <w:color w:val="000000"/>
        </w:rPr>
        <w:t>tic&amp;société</w:t>
      </w:r>
      <w:proofErr w:type="spellEnd"/>
      <w:r w:rsidR="003F7B49" w:rsidRPr="003F7B49">
        <w:rPr>
          <w:color w:val="000000"/>
        </w:rPr>
        <w:t xml:space="preserve">, </w:t>
      </w:r>
      <w:r w:rsidR="003F7B49" w:rsidRPr="003F7B49">
        <w:rPr>
          <w:i/>
          <w:color w:val="000000"/>
        </w:rPr>
        <w:t>12</w:t>
      </w:r>
      <w:r w:rsidR="003F7B49" w:rsidRPr="003F7B49">
        <w:rPr>
          <w:color w:val="000000"/>
        </w:rPr>
        <w:t xml:space="preserve">(2), </w:t>
      </w:r>
      <w:r w:rsidRPr="003F7B49">
        <w:rPr>
          <w:color w:val="000000"/>
        </w:rPr>
        <w:t>p. 9-43</w:t>
      </w:r>
      <w:r w:rsidR="00C54C69" w:rsidRPr="003F7B49">
        <w:rPr>
          <w:color w:val="000000"/>
        </w:rPr>
        <w:t>.</w:t>
      </w:r>
    </w:p>
    <w:p w14:paraId="751A5BED" w14:textId="30BA09EA" w:rsidR="00C54C69" w:rsidRPr="003F7B49" w:rsidRDefault="009027A8" w:rsidP="003F7B49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3F7B49">
        <w:rPr>
          <w:rStyle w:val="normaltextrun"/>
          <w:color w:val="000000"/>
          <w:shd w:val="clear" w:color="auto" w:fill="FFFFFF"/>
        </w:rPr>
        <w:t>Zélem</w:t>
      </w:r>
      <w:proofErr w:type="spellEnd"/>
      <w:r w:rsidRPr="003F7B49">
        <w:rPr>
          <w:rStyle w:val="normaltextrun"/>
          <w:color w:val="000000"/>
          <w:shd w:val="clear" w:color="auto" w:fill="FFFFFF"/>
        </w:rPr>
        <w:t>, M-C. (2018). Économies d’énergie : Le bâtiment confronté à ses occupants. </w:t>
      </w:r>
      <w:r w:rsidRPr="003F7B49">
        <w:rPr>
          <w:rStyle w:val="normaltextrun"/>
          <w:i/>
          <w:iCs/>
          <w:color w:val="000000"/>
          <w:shd w:val="clear" w:color="auto" w:fill="FFFFFF"/>
        </w:rPr>
        <w:t>Annales des mines -</w:t>
      </w:r>
      <w:r w:rsidRPr="003F7B49">
        <w:rPr>
          <w:rStyle w:val="normaltextrun"/>
          <w:color w:val="000000"/>
          <w:shd w:val="clear" w:color="auto" w:fill="FFFFFF"/>
        </w:rPr>
        <w:t> </w:t>
      </w:r>
      <w:r w:rsidRPr="003F7B49">
        <w:rPr>
          <w:rStyle w:val="normaltextrun"/>
          <w:i/>
          <w:iCs/>
          <w:color w:val="000000"/>
          <w:shd w:val="clear" w:color="auto" w:fill="FFFFFF"/>
        </w:rPr>
        <w:t>Responsabilité et environnement, 90,</w:t>
      </w:r>
      <w:r w:rsidRPr="003F7B49">
        <w:rPr>
          <w:rStyle w:val="normaltextrun"/>
          <w:color w:val="000000"/>
          <w:shd w:val="clear" w:color="auto" w:fill="FFFFFF"/>
        </w:rPr>
        <w:t> 26-34. Consulté à l’adresse </w:t>
      </w:r>
      <w:hyperlink r:id="rId10" w:tgtFrame="_blank" w:history="1">
        <w:r w:rsidRPr="003F7B49">
          <w:rPr>
            <w:rStyle w:val="normaltextrun"/>
            <w:color w:val="0000FF"/>
            <w:u w:val="single"/>
            <w:shd w:val="clear" w:color="auto" w:fill="FFFFFF"/>
          </w:rPr>
          <w:t>https://hal.archives-ouvertes.fr/hal-01757795/document</w:t>
        </w:r>
      </w:hyperlink>
      <w:r w:rsidRPr="003F7B49">
        <w:rPr>
          <w:rStyle w:val="eop"/>
          <w:color w:val="000000"/>
          <w:shd w:val="clear" w:color="auto" w:fill="FFFFFF"/>
        </w:rPr>
        <w:t> </w:t>
      </w:r>
    </w:p>
    <w:sectPr w:rsidR="00C54C69" w:rsidRPr="003F7B49" w:rsidSect="00C00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D163" w16cex:dateUtc="2021-11-23T19:45:00Z"/>
  <w16cex:commentExtensible w16cex:durableId="2547D844" w16cex:dateUtc="2021-11-23T20:14:00Z"/>
  <w16cex:commentExtensible w16cex:durableId="2547D6B1" w16cex:dateUtc="2021-11-23T20:08:00Z"/>
  <w16cex:commentExtensible w16cex:durableId="2547D70E" w16cex:dateUtc="2021-11-23T20:09:00Z"/>
  <w16cex:commentExtensible w16cex:durableId="2547D7DF" w16cex:dateUtc="2021-11-23T20:13:00Z"/>
  <w16cex:commentExtensible w16cex:durableId="2547D77D" w16cex:dateUtc="2021-11-23T2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1D523" w14:textId="77777777" w:rsidR="00C20D38" w:rsidRDefault="00C20D38" w:rsidP="006E3DFD">
      <w:r>
        <w:separator/>
      </w:r>
    </w:p>
  </w:endnote>
  <w:endnote w:type="continuationSeparator" w:id="0">
    <w:p w14:paraId="06B009F5" w14:textId="77777777" w:rsidR="00C20D38" w:rsidRDefault="00C20D38" w:rsidP="006E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C658" w14:textId="77777777" w:rsidR="00C20D38" w:rsidRDefault="00C20D38" w:rsidP="006E3DFD">
      <w:r>
        <w:separator/>
      </w:r>
    </w:p>
  </w:footnote>
  <w:footnote w:type="continuationSeparator" w:id="0">
    <w:p w14:paraId="1B12C9CD" w14:textId="77777777" w:rsidR="00C20D38" w:rsidRDefault="00C20D38" w:rsidP="006E3DFD">
      <w:r>
        <w:continuationSeparator/>
      </w:r>
    </w:p>
  </w:footnote>
  <w:footnote w:id="1">
    <w:p w14:paraId="59C8C12B" w14:textId="5A47AFED" w:rsidR="007477EF" w:rsidRPr="00A00822" w:rsidRDefault="007477EF" w:rsidP="00A00822">
      <w:pPr>
        <w:jc w:val="both"/>
      </w:pPr>
      <w:r>
        <w:rPr>
          <w:rStyle w:val="Appelnotedebasdep"/>
        </w:rPr>
        <w:footnoteRef/>
      </w:r>
      <w:r w:rsidR="00407A12" w:rsidRPr="00407A12">
        <w:rPr>
          <w:color w:val="000000" w:themeColor="text1"/>
          <w:sz w:val="20"/>
          <w:szCs w:val="20"/>
        </w:rPr>
        <w:t xml:space="preserve">Cette technologie consiste en </w:t>
      </w:r>
      <w:r w:rsidR="00833F23" w:rsidRPr="00407A12">
        <w:rPr>
          <w:color w:val="000000" w:themeColor="text1"/>
          <w:sz w:val="20"/>
          <w:szCs w:val="20"/>
        </w:rPr>
        <w:t>« </w:t>
      </w:r>
      <w:r w:rsidR="00833F23" w:rsidRPr="00407A12">
        <w:rPr>
          <w:color w:val="000000" w:themeColor="text1"/>
          <w:sz w:val="20"/>
          <w:szCs w:val="20"/>
          <w:shd w:val="clear" w:color="auto" w:fill="FFFFFF"/>
        </w:rPr>
        <w:t xml:space="preserve">un système électronique qui peut mesurer l'énergie prélevée ou injectée en ajoutant des informations qu'un compteur classique ne fournit pas, qui peut transmettre et recevoir des données </w:t>
      </w:r>
      <w:r w:rsidR="00833F23" w:rsidRPr="002A5011">
        <w:rPr>
          <w:color w:val="000000" w:themeColor="text1"/>
          <w:sz w:val="20"/>
          <w:szCs w:val="20"/>
          <w:shd w:val="clear" w:color="auto" w:fill="FFFFFF"/>
        </w:rPr>
        <w:t xml:space="preserve">sous forme de communication électronique et qui peut être actionné à distance afin d'assurer </w:t>
      </w:r>
      <w:r w:rsidR="00407A12" w:rsidRPr="002A5011">
        <w:rPr>
          <w:color w:val="000000" w:themeColor="text1"/>
          <w:sz w:val="20"/>
          <w:szCs w:val="20"/>
          <w:shd w:val="clear" w:color="auto" w:fill="FFFFFF"/>
        </w:rPr>
        <w:t xml:space="preserve">[certaines] </w:t>
      </w:r>
      <w:r w:rsidR="00833F23" w:rsidRPr="002A5011">
        <w:rPr>
          <w:color w:val="000000" w:themeColor="text1"/>
          <w:sz w:val="20"/>
          <w:szCs w:val="20"/>
          <w:shd w:val="clear" w:color="auto" w:fill="FFFFFF"/>
        </w:rPr>
        <w:t>fonctionnalités »</w:t>
      </w:r>
      <w:r w:rsidR="00407A12" w:rsidRPr="002A5011">
        <w:rPr>
          <w:color w:val="000000" w:themeColor="text1"/>
          <w:sz w:val="20"/>
          <w:szCs w:val="20"/>
          <w:shd w:val="clear" w:color="auto" w:fill="FFFFFF"/>
        </w:rPr>
        <w:t xml:space="preserve"> (Décret du 19 juillet 2018</w:t>
      </w:r>
      <w:r w:rsidR="002A5011" w:rsidRPr="002A5011">
        <w:rPr>
          <w:color w:val="000000" w:themeColor="text1"/>
          <w:sz w:val="20"/>
          <w:szCs w:val="20"/>
          <w:shd w:val="clear" w:color="auto" w:fill="FFFFFF"/>
        </w:rPr>
        <w:t>, art. 2, 2°, al. 1</w:t>
      </w:r>
      <w:r w:rsidR="00407A12" w:rsidRPr="002A5011">
        <w:rPr>
          <w:color w:val="000000" w:themeColor="text1"/>
          <w:sz w:val="20"/>
          <w:szCs w:val="20"/>
          <w:shd w:val="clear" w:color="auto" w:fill="FFFFFF"/>
        </w:rPr>
        <w:t>).</w:t>
      </w:r>
      <w:r w:rsidR="00407A12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</w:footnote>
  <w:footnote w:id="2">
    <w:p w14:paraId="626DAEF9" w14:textId="194D762E" w:rsidR="003F7B49" w:rsidRPr="003F7B49" w:rsidRDefault="003F7B49" w:rsidP="00924BED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t>En raison du caractère interdisciplinaire</w:t>
      </w:r>
      <w:r w:rsidR="00924BED">
        <w:t xml:space="preserve"> de cette production</w:t>
      </w:r>
      <w:r>
        <w:t xml:space="preserve">, </w:t>
      </w:r>
      <w:r>
        <w:rPr>
          <w:lang w:val="fr-FR"/>
        </w:rPr>
        <w:t>la littérature scientifique est référencée selon les normes APA</w:t>
      </w:r>
      <w:r>
        <w:t>, tandis que l</w:t>
      </w:r>
      <w:r>
        <w:rPr>
          <w:lang w:val="fr-FR"/>
        </w:rPr>
        <w:t>es sources formelles du droit</w:t>
      </w:r>
      <w:r w:rsidR="00A85894">
        <w:rPr>
          <w:lang w:val="fr-FR"/>
        </w:rPr>
        <w:t xml:space="preserve"> (</w:t>
      </w:r>
      <w:r w:rsidR="00A85894">
        <w:rPr>
          <w:i/>
          <w:lang w:val="fr-FR"/>
        </w:rPr>
        <w:t xml:space="preserve">hard </w:t>
      </w:r>
      <w:r w:rsidR="00A85894">
        <w:rPr>
          <w:lang w:val="fr-FR"/>
        </w:rPr>
        <w:t xml:space="preserve">et </w:t>
      </w:r>
      <w:r w:rsidR="00A85894">
        <w:rPr>
          <w:i/>
          <w:lang w:val="fr-FR"/>
        </w:rPr>
        <w:t>soft</w:t>
      </w:r>
      <w:r w:rsidR="00A85894">
        <w:rPr>
          <w:lang w:val="fr-FR"/>
        </w:rPr>
        <w:t xml:space="preserve">) </w:t>
      </w:r>
      <w:r>
        <w:rPr>
          <w:lang w:val="fr-FR"/>
        </w:rPr>
        <w:t xml:space="preserve">sont référencées selon les normes usitées par la communauté des juristes.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58AC"/>
    <w:multiLevelType w:val="multilevel"/>
    <w:tmpl w:val="EAB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61385"/>
    <w:multiLevelType w:val="multilevel"/>
    <w:tmpl w:val="1060B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90414"/>
    <w:multiLevelType w:val="multilevel"/>
    <w:tmpl w:val="2A243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1523D"/>
    <w:multiLevelType w:val="multilevel"/>
    <w:tmpl w:val="7FDE0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FD"/>
    <w:rsid w:val="00012286"/>
    <w:rsid w:val="00024B59"/>
    <w:rsid w:val="0004183D"/>
    <w:rsid w:val="000454A8"/>
    <w:rsid w:val="00083ACC"/>
    <w:rsid w:val="000A54CC"/>
    <w:rsid w:val="000B1998"/>
    <w:rsid w:val="000B5FC7"/>
    <w:rsid w:val="000B647E"/>
    <w:rsid w:val="000C2370"/>
    <w:rsid w:val="000E450C"/>
    <w:rsid w:val="00105DAF"/>
    <w:rsid w:val="001260B5"/>
    <w:rsid w:val="00126729"/>
    <w:rsid w:val="001333B6"/>
    <w:rsid w:val="00143D62"/>
    <w:rsid w:val="00147E67"/>
    <w:rsid w:val="001847A7"/>
    <w:rsid w:val="00186F59"/>
    <w:rsid w:val="00193703"/>
    <w:rsid w:val="001959D9"/>
    <w:rsid w:val="001B23C4"/>
    <w:rsid w:val="001C63CF"/>
    <w:rsid w:val="001E29BF"/>
    <w:rsid w:val="001F791C"/>
    <w:rsid w:val="00205107"/>
    <w:rsid w:val="00231E53"/>
    <w:rsid w:val="002335DC"/>
    <w:rsid w:val="002A5011"/>
    <w:rsid w:val="002D2C76"/>
    <w:rsid w:val="002E0BBC"/>
    <w:rsid w:val="00344A34"/>
    <w:rsid w:val="0038476C"/>
    <w:rsid w:val="003857F2"/>
    <w:rsid w:val="003872B4"/>
    <w:rsid w:val="003F7B49"/>
    <w:rsid w:val="00407A12"/>
    <w:rsid w:val="00442F89"/>
    <w:rsid w:val="00491FB3"/>
    <w:rsid w:val="004A362D"/>
    <w:rsid w:val="004D419F"/>
    <w:rsid w:val="004D7A1D"/>
    <w:rsid w:val="00504291"/>
    <w:rsid w:val="005400FC"/>
    <w:rsid w:val="00553D02"/>
    <w:rsid w:val="005B3673"/>
    <w:rsid w:val="005D386B"/>
    <w:rsid w:val="00616560"/>
    <w:rsid w:val="00622425"/>
    <w:rsid w:val="006552A8"/>
    <w:rsid w:val="0066548F"/>
    <w:rsid w:val="0068519D"/>
    <w:rsid w:val="006908F1"/>
    <w:rsid w:val="0069302F"/>
    <w:rsid w:val="006E3DFD"/>
    <w:rsid w:val="00721D0F"/>
    <w:rsid w:val="00723ECB"/>
    <w:rsid w:val="00734D69"/>
    <w:rsid w:val="007477EF"/>
    <w:rsid w:val="00753204"/>
    <w:rsid w:val="00766CEB"/>
    <w:rsid w:val="00790271"/>
    <w:rsid w:val="007920CE"/>
    <w:rsid w:val="007B14E1"/>
    <w:rsid w:val="007C2F93"/>
    <w:rsid w:val="007E1C3C"/>
    <w:rsid w:val="007E5042"/>
    <w:rsid w:val="007E751A"/>
    <w:rsid w:val="007E7F9F"/>
    <w:rsid w:val="0081348D"/>
    <w:rsid w:val="0082555C"/>
    <w:rsid w:val="00833F23"/>
    <w:rsid w:val="008343B9"/>
    <w:rsid w:val="008344D1"/>
    <w:rsid w:val="00853DC6"/>
    <w:rsid w:val="008608E7"/>
    <w:rsid w:val="008A39CE"/>
    <w:rsid w:val="008A3C57"/>
    <w:rsid w:val="008B6FBC"/>
    <w:rsid w:val="008C758C"/>
    <w:rsid w:val="008D5611"/>
    <w:rsid w:val="008E23AC"/>
    <w:rsid w:val="009027A8"/>
    <w:rsid w:val="009079B9"/>
    <w:rsid w:val="009165E8"/>
    <w:rsid w:val="00917E30"/>
    <w:rsid w:val="00924BED"/>
    <w:rsid w:val="009336B4"/>
    <w:rsid w:val="0094408D"/>
    <w:rsid w:val="00957C25"/>
    <w:rsid w:val="00963060"/>
    <w:rsid w:val="009662B8"/>
    <w:rsid w:val="00971E02"/>
    <w:rsid w:val="0097474C"/>
    <w:rsid w:val="00985355"/>
    <w:rsid w:val="00986214"/>
    <w:rsid w:val="009D0719"/>
    <w:rsid w:val="009E1622"/>
    <w:rsid w:val="009F709A"/>
    <w:rsid w:val="00A00822"/>
    <w:rsid w:val="00A44CF8"/>
    <w:rsid w:val="00A74AE7"/>
    <w:rsid w:val="00A85894"/>
    <w:rsid w:val="00AA4E7C"/>
    <w:rsid w:val="00AB6FA7"/>
    <w:rsid w:val="00AC2BAF"/>
    <w:rsid w:val="00AC3046"/>
    <w:rsid w:val="00AC4EDD"/>
    <w:rsid w:val="00AD07FD"/>
    <w:rsid w:val="00AD63B7"/>
    <w:rsid w:val="00AE0705"/>
    <w:rsid w:val="00AF41EA"/>
    <w:rsid w:val="00AF6BEF"/>
    <w:rsid w:val="00B43B04"/>
    <w:rsid w:val="00B43D1E"/>
    <w:rsid w:val="00B47548"/>
    <w:rsid w:val="00B612A6"/>
    <w:rsid w:val="00B6772A"/>
    <w:rsid w:val="00B93F53"/>
    <w:rsid w:val="00B96A34"/>
    <w:rsid w:val="00B9746E"/>
    <w:rsid w:val="00BD03AE"/>
    <w:rsid w:val="00BD6E6D"/>
    <w:rsid w:val="00BE6312"/>
    <w:rsid w:val="00C00731"/>
    <w:rsid w:val="00C20D38"/>
    <w:rsid w:val="00C22052"/>
    <w:rsid w:val="00C54C69"/>
    <w:rsid w:val="00C61BB9"/>
    <w:rsid w:val="00C6484B"/>
    <w:rsid w:val="00CB6D9F"/>
    <w:rsid w:val="00CC3AB4"/>
    <w:rsid w:val="00CC4C52"/>
    <w:rsid w:val="00CE1B99"/>
    <w:rsid w:val="00CF670C"/>
    <w:rsid w:val="00D74D8C"/>
    <w:rsid w:val="00D82DC3"/>
    <w:rsid w:val="00DA1A90"/>
    <w:rsid w:val="00DB5BEC"/>
    <w:rsid w:val="00DD1F81"/>
    <w:rsid w:val="00DF0DF8"/>
    <w:rsid w:val="00E379A0"/>
    <w:rsid w:val="00E37ADE"/>
    <w:rsid w:val="00E52E0A"/>
    <w:rsid w:val="00E70946"/>
    <w:rsid w:val="00E9656E"/>
    <w:rsid w:val="00EA0F83"/>
    <w:rsid w:val="00EA5243"/>
    <w:rsid w:val="00EE0A01"/>
    <w:rsid w:val="00EF1B93"/>
    <w:rsid w:val="00F5680E"/>
    <w:rsid w:val="00F56DF5"/>
    <w:rsid w:val="00F93C11"/>
    <w:rsid w:val="00FA3A09"/>
    <w:rsid w:val="00FB25E3"/>
    <w:rsid w:val="00FC423E"/>
    <w:rsid w:val="00FC4B0C"/>
    <w:rsid w:val="00FD7C7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F7F1"/>
  <w15:chartTrackingRefBased/>
  <w15:docId w15:val="{B05C5D8C-0636-7B40-994A-8C6161D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A90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E3DFD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rsid w:val="006E3DF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3DF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3DF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33B6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6224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24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2425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24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2425"/>
    <w:rPr>
      <w:b/>
      <w:bCs/>
      <w:sz w:val="20"/>
      <w:szCs w:val="20"/>
      <w:lang w:val="fr-FR"/>
    </w:rPr>
  </w:style>
  <w:style w:type="character" w:customStyle="1" w:styleId="normaltextrun">
    <w:name w:val="normaltextrun"/>
    <w:basedOn w:val="Policepardfaut"/>
    <w:rsid w:val="00DF0DF8"/>
  </w:style>
  <w:style w:type="character" w:customStyle="1" w:styleId="eop">
    <w:name w:val="eop"/>
    <w:basedOn w:val="Policepardfaut"/>
    <w:rsid w:val="009027A8"/>
  </w:style>
  <w:style w:type="character" w:styleId="Lienhypertexte">
    <w:name w:val="Hyperlink"/>
    <w:basedOn w:val="Policepardfaut"/>
    <w:uiPriority w:val="99"/>
    <w:unhideWhenUsed/>
    <w:rsid w:val="009662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62B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26729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99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998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calameo.com/read/0017742954bec89c77172?authid=OClWTGwXHtB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al.archives-ouvertes.fr/hal-01757795/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cp.be/wp-content/uploads/2019/05/fracture-numeriqu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3D03A-19DE-0847-ABAF-7C086B8D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6003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2021-12-02T14:54:00Z</dcterms:created>
  <dcterms:modified xsi:type="dcterms:W3CDTF">2021-12-02T14:54:00Z</dcterms:modified>
</cp:coreProperties>
</file>